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3C149F09"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sidR="00FD38C1">
        <w:rPr>
          <w:rFonts w:eastAsiaTheme="minorHAnsi" w:cs="Arial"/>
          <w:b/>
          <w:bCs/>
          <w:sz w:val="24"/>
          <w:szCs w:val="24"/>
          <w:lang w:val="en-US"/>
        </w:rPr>
        <w:t>2</w:t>
      </w:r>
      <w:r w:rsidRPr="00CA65F5">
        <w:rPr>
          <w:rFonts w:eastAsiaTheme="minorHAnsi" w:cs="Arial"/>
          <w:b/>
          <w:bCs/>
          <w:sz w:val="24"/>
          <w:szCs w:val="24"/>
          <w:lang w:val="en-US"/>
        </w:rPr>
        <w:t xml:space="preserve"> #</w:t>
      </w:r>
      <w:r w:rsidR="00375359" w:rsidRPr="00CA65F5">
        <w:rPr>
          <w:rFonts w:eastAsiaTheme="minorHAnsi" w:cs="Arial"/>
          <w:b/>
          <w:bCs/>
          <w:sz w:val="24"/>
          <w:szCs w:val="24"/>
          <w:lang w:val="en-US"/>
        </w:rPr>
        <w:t>1</w:t>
      </w:r>
      <w:r w:rsidR="00FD38C1">
        <w:rPr>
          <w:rFonts w:eastAsiaTheme="minorHAnsi" w:cs="Arial"/>
          <w:b/>
          <w:bCs/>
          <w:sz w:val="24"/>
          <w:szCs w:val="24"/>
          <w:lang w:val="en-US"/>
        </w:rPr>
        <w:t>1</w:t>
      </w:r>
      <w:r w:rsidR="000D40DC">
        <w:rPr>
          <w:rFonts w:eastAsiaTheme="minorHAnsi" w:cs="Arial"/>
          <w:b/>
          <w:bCs/>
          <w:sz w:val="24"/>
          <w:szCs w:val="24"/>
          <w:lang w:val="en-US"/>
        </w:rPr>
        <w:t>6</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C52630">
        <w:rPr>
          <w:rFonts w:eastAsiaTheme="minorHAnsi" w:cs="Arial"/>
          <w:b/>
          <w:bCs/>
          <w:sz w:val="24"/>
          <w:szCs w:val="24"/>
          <w:lang w:val="en-US"/>
        </w:rPr>
        <w:t xml:space="preserve">     </w:t>
      </w:r>
      <w:r w:rsidR="004371FB" w:rsidRPr="00CA65F5">
        <w:rPr>
          <w:rFonts w:eastAsiaTheme="minorHAnsi" w:cs="Arial"/>
          <w:b/>
          <w:bCs/>
          <w:sz w:val="24"/>
          <w:szCs w:val="24"/>
          <w:lang w:val="en-US"/>
        </w:rPr>
        <w:t>R</w:t>
      </w:r>
      <w:r w:rsidR="00FD38C1">
        <w:rPr>
          <w:rFonts w:eastAsiaTheme="minorHAnsi" w:cs="Arial"/>
          <w:b/>
          <w:bCs/>
          <w:sz w:val="24"/>
          <w:szCs w:val="24"/>
          <w:lang w:val="en-US"/>
        </w:rPr>
        <w:t>2</w:t>
      </w:r>
      <w:r w:rsidR="004371FB" w:rsidRPr="00CA65F5">
        <w:rPr>
          <w:rFonts w:eastAsiaTheme="minorHAnsi" w:cs="Arial"/>
          <w:b/>
          <w:bCs/>
          <w:sz w:val="24"/>
          <w:szCs w:val="24"/>
          <w:lang w:val="en-US"/>
        </w:rPr>
        <w:t>-</w:t>
      </w:r>
      <w:r w:rsidR="00E418BE">
        <w:rPr>
          <w:rFonts w:eastAsiaTheme="minorHAnsi" w:cs="Arial"/>
          <w:b/>
          <w:bCs/>
          <w:sz w:val="24"/>
          <w:szCs w:val="24"/>
          <w:lang w:val="en-US"/>
        </w:rPr>
        <w:t>2</w:t>
      </w:r>
      <w:r w:rsidR="00FD38C1">
        <w:rPr>
          <w:rFonts w:eastAsiaTheme="minorHAnsi" w:cs="Arial"/>
          <w:b/>
          <w:bCs/>
          <w:sz w:val="24"/>
          <w:szCs w:val="24"/>
          <w:lang w:val="en-US"/>
        </w:rPr>
        <w:t>1</w:t>
      </w:r>
      <w:r w:rsidR="009040CD">
        <w:rPr>
          <w:rFonts w:eastAsiaTheme="minorHAnsi" w:cs="Arial"/>
          <w:b/>
          <w:bCs/>
          <w:sz w:val="24"/>
          <w:szCs w:val="24"/>
          <w:lang w:val="en-US"/>
        </w:rPr>
        <w:t>10551</w:t>
      </w:r>
    </w:p>
    <w:p w14:paraId="0EEE9A19" w14:textId="63A9FE32" w:rsidR="00E418BE" w:rsidRDefault="000F3707" w:rsidP="00E418BE">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00E418BE" w:rsidRPr="004A68B6">
        <w:rPr>
          <w:rFonts w:eastAsiaTheme="minorEastAsia" w:cs="Arial"/>
          <w:b/>
          <w:bCs/>
          <w:sz w:val="24"/>
          <w:szCs w:val="24"/>
          <w:lang w:val="en-US" w:eastAsia="ko-KR"/>
        </w:rPr>
        <w:t xml:space="preserve">, </w:t>
      </w:r>
      <w:r w:rsidR="008E728B" w:rsidRPr="008E728B">
        <w:rPr>
          <w:b/>
          <w:bCs/>
          <w:sz w:val="24"/>
          <w:szCs w:val="24"/>
          <w:lang w:eastAsia="ja-JP"/>
        </w:rPr>
        <w:t>1</w:t>
      </w:r>
      <w:r w:rsidR="00FD38C1" w:rsidRPr="00FD38C1">
        <w:rPr>
          <w:b/>
          <w:bCs/>
          <w:sz w:val="24"/>
          <w:szCs w:val="24"/>
          <w:vertAlign w:val="superscript"/>
          <w:lang w:eastAsia="ja-JP"/>
        </w:rPr>
        <w:t>st</w:t>
      </w:r>
      <w:r w:rsidR="00FD38C1">
        <w:rPr>
          <w:b/>
          <w:bCs/>
          <w:sz w:val="24"/>
          <w:szCs w:val="24"/>
          <w:lang w:eastAsia="ja-JP"/>
        </w:rPr>
        <w:t xml:space="preserve"> </w:t>
      </w:r>
      <w:r w:rsidR="0007228A">
        <w:rPr>
          <w:b/>
          <w:bCs/>
          <w:sz w:val="24"/>
          <w:szCs w:val="24"/>
          <w:lang w:eastAsia="ja-JP"/>
        </w:rPr>
        <w:t>– 12</w:t>
      </w:r>
      <w:r w:rsidR="0007228A" w:rsidRPr="0007228A">
        <w:rPr>
          <w:b/>
          <w:bCs/>
          <w:sz w:val="24"/>
          <w:szCs w:val="24"/>
          <w:vertAlign w:val="superscript"/>
          <w:lang w:eastAsia="ja-JP"/>
        </w:rPr>
        <w:t>th</w:t>
      </w:r>
      <w:r w:rsidR="0007228A">
        <w:rPr>
          <w:b/>
          <w:bCs/>
          <w:sz w:val="24"/>
          <w:szCs w:val="24"/>
          <w:lang w:eastAsia="ja-JP"/>
        </w:rPr>
        <w:t xml:space="preserve"> </w:t>
      </w:r>
      <w:proofErr w:type="gramStart"/>
      <w:r w:rsidR="00FD38C1">
        <w:rPr>
          <w:b/>
          <w:bCs/>
          <w:sz w:val="24"/>
          <w:szCs w:val="24"/>
          <w:lang w:eastAsia="ja-JP"/>
        </w:rPr>
        <w:t>November</w:t>
      </w:r>
      <w:r w:rsidR="00E418BE">
        <w:rPr>
          <w:rFonts w:eastAsiaTheme="minorEastAsia" w:cs="Arial"/>
          <w:b/>
          <w:bCs/>
          <w:sz w:val="24"/>
          <w:szCs w:val="24"/>
          <w:lang w:val="en-US" w:eastAsia="ko-KR"/>
        </w:rPr>
        <w:t>,</w:t>
      </w:r>
      <w:proofErr w:type="gramEnd"/>
      <w:r w:rsidR="00E418BE">
        <w:rPr>
          <w:rFonts w:eastAsiaTheme="minorEastAsia" w:cs="Arial"/>
          <w:b/>
          <w:bCs/>
          <w:sz w:val="24"/>
          <w:szCs w:val="24"/>
          <w:lang w:val="en-US" w:eastAsia="ko-KR"/>
        </w:rPr>
        <w:t xml:space="preserve"> </w:t>
      </w:r>
      <w:r w:rsidR="00E418BE" w:rsidRPr="004A68B6">
        <w:rPr>
          <w:rFonts w:eastAsiaTheme="minorEastAsia" w:cs="Arial"/>
          <w:b/>
          <w:bCs/>
          <w:sz w:val="24"/>
          <w:szCs w:val="24"/>
          <w:lang w:val="en-US" w:eastAsia="ko-KR"/>
        </w:rPr>
        <w:t>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148C639A"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E57373">
        <w:rPr>
          <w:rFonts w:cs="Arial"/>
          <w:b/>
          <w:bCs/>
          <w:sz w:val="24"/>
          <w:szCs w:val="24"/>
          <w:lang w:val="en-US"/>
        </w:rPr>
        <w:t>9.2.</w:t>
      </w:r>
      <w:r w:rsidR="00113D57">
        <w:rPr>
          <w:rFonts w:cs="Arial"/>
          <w:b/>
          <w:bCs/>
          <w:sz w:val="24"/>
          <w:szCs w:val="24"/>
          <w:lang w:val="en-US"/>
        </w:rPr>
        <w:t>4</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1F2A6544" w:rsidR="00FA20F7" w:rsidRPr="00CA65F5" w:rsidRDefault="00FA20F7" w:rsidP="00690F53">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57373">
        <w:rPr>
          <w:rFonts w:ascii="Arial" w:hAnsi="Arial" w:cs="Arial"/>
          <w:b/>
          <w:bCs/>
          <w:sz w:val="24"/>
          <w:szCs w:val="24"/>
        </w:rPr>
        <w:t>IoT-NTN</w:t>
      </w:r>
      <w:r w:rsidR="00BD4122">
        <w:rPr>
          <w:rFonts w:ascii="Arial" w:hAnsi="Arial" w:cs="Arial"/>
          <w:b/>
          <w:bCs/>
          <w:sz w:val="24"/>
          <w:szCs w:val="24"/>
        </w:rPr>
        <w:t xml:space="preserve"> </w:t>
      </w:r>
      <w:r w:rsidR="001F364F">
        <w:rPr>
          <w:rFonts w:ascii="Arial" w:hAnsi="Arial" w:cs="Arial"/>
          <w:b/>
          <w:bCs/>
          <w:sz w:val="24"/>
          <w:szCs w:val="24"/>
        </w:rPr>
        <w:t>cell change</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6EB0C2BD" w14:textId="7B82BBFA" w:rsidR="000F3707" w:rsidRDefault="000F3707" w:rsidP="00B61F4E">
      <w:pPr>
        <w:pStyle w:val="Heading1"/>
        <w:numPr>
          <w:ilvl w:val="0"/>
          <w:numId w:val="34"/>
        </w:numPr>
        <w:pBdr>
          <w:top w:val="single" w:sz="12" w:space="5" w:color="auto"/>
        </w:pBdr>
        <w:tabs>
          <w:tab w:val="clear" w:pos="720"/>
          <w:tab w:val="left" w:pos="426"/>
        </w:tabs>
        <w:ind w:hanging="720"/>
        <w:rPr>
          <w:rFonts w:cs="Arial"/>
        </w:rPr>
      </w:pPr>
      <w:r>
        <w:rPr>
          <w:rFonts w:cs="Arial"/>
        </w:rPr>
        <w:t>Introduction</w:t>
      </w:r>
    </w:p>
    <w:p w14:paraId="617257B6" w14:textId="7A9BBE8D" w:rsidR="00C00EF9" w:rsidRDefault="00C00EF9" w:rsidP="00C00EF9">
      <w:pPr>
        <w:pStyle w:val="Doc-title"/>
      </w:pPr>
    </w:p>
    <w:p w14:paraId="43EA1478" w14:textId="627039FA" w:rsidR="00C00EF9" w:rsidRDefault="00C00EF9" w:rsidP="00C00EF9">
      <w:pPr>
        <w:pStyle w:val="Doc-text2"/>
        <w:ind w:hanging="1622"/>
      </w:pPr>
      <w:r>
        <w:t>In RAN2#115-e the following agreements were made on IoT-NTN:</w:t>
      </w:r>
    </w:p>
    <w:p w14:paraId="066D0E81" w14:textId="77777777" w:rsidR="00C00EF9" w:rsidRPr="00C00EF9" w:rsidRDefault="00C00EF9" w:rsidP="00C00EF9">
      <w:pPr>
        <w:pStyle w:val="Doc-text2"/>
        <w:ind w:hanging="1622"/>
      </w:pPr>
    </w:p>
    <w:tbl>
      <w:tblPr>
        <w:tblStyle w:val="TableGrid"/>
        <w:tblW w:w="0" w:type="auto"/>
        <w:tblLook w:val="04A0" w:firstRow="1" w:lastRow="0" w:firstColumn="1" w:lastColumn="0" w:noHBand="0" w:noVBand="1"/>
      </w:tblPr>
      <w:tblGrid>
        <w:gridCol w:w="9629"/>
      </w:tblGrid>
      <w:tr w:rsidR="00B61F4E" w14:paraId="3BCBB67D" w14:textId="77777777" w:rsidTr="00B61F4E">
        <w:tc>
          <w:tcPr>
            <w:tcW w:w="9629" w:type="dxa"/>
          </w:tcPr>
          <w:p w14:paraId="56E33889" w14:textId="515B2767" w:rsidR="00C00EF9" w:rsidRPr="00C00EF9" w:rsidRDefault="00C00EF9" w:rsidP="00C00EF9">
            <w:pPr>
              <w:rPr>
                <w:b/>
                <w:iCs/>
                <w:sz w:val="24"/>
                <w:szCs w:val="24"/>
              </w:rPr>
            </w:pPr>
            <w:r w:rsidRPr="00C00EF9">
              <w:rPr>
                <w:b/>
                <w:iCs/>
                <w:sz w:val="24"/>
                <w:szCs w:val="24"/>
              </w:rPr>
              <w:t>Agreements:</w:t>
            </w:r>
          </w:p>
          <w:p w14:paraId="65FCCAC4" w14:textId="77777777" w:rsidR="00C00EF9" w:rsidRPr="00C00EF9" w:rsidRDefault="00C00EF9" w:rsidP="00C00EF9">
            <w:pPr>
              <w:ind w:left="313" w:hanging="284"/>
              <w:rPr>
                <w:bCs/>
                <w:iCs/>
              </w:rPr>
            </w:pPr>
            <w:r w:rsidRPr="00C00EF9">
              <w:rPr>
                <w:bCs/>
                <w:iCs/>
              </w:rPr>
              <w:t>•</w:t>
            </w:r>
            <w:r w:rsidRPr="00C00EF9">
              <w:rPr>
                <w:bCs/>
                <w:iCs/>
              </w:rPr>
              <w:tab/>
              <w:t>Cell selection / reselection procedures for NB-IoT and LTE-M in TN is the baseline in NB-IoT/LTE-M NTN.</w:t>
            </w:r>
          </w:p>
          <w:p w14:paraId="2DFBA9BB" w14:textId="77777777" w:rsidR="00C00EF9" w:rsidRPr="00C00EF9" w:rsidRDefault="00C00EF9" w:rsidP="00C00EF9">
            <w:pPr>
              <w:ind w:left="313" w:hanging="284"/>
              <w:rPr>
                <w:bCs/>
                <w:iCs/>
              </w:rPr>
            </w:pPr>
            <w:r w:rsidRPr="00C00EF9">
              <w:rPr>
                <w:bCs/>
                <w:iCs/>
              </w:rPr>
              <w:t>•</w:t>
            </w:r>
            <w:r w:rsidRPr="00C00EF9">
              <w:rPr>
                <w:bCs/>
                <w:iCs/>
              </w:rPr>
              <w:tab/>
              <w:t xml:space="preserve">RAN2 assumes that Satellite assistance information, </w:t>
            </w:r>
            <w:proofErr w:type="gramStart"/>
            <w:r w:rsidRPr="00C00EF9">
              <w:rPr>
                <w:bCs/>
                <w:iCs/>
              </w:rPr>
              <w:t>e.g.</w:t>
            </w:r>
            <w:proofErr w:type="gramEnd"/>
            <w:r w:rsidRPr="00C00EF9">
              <w:rPr>
                <w:bCs/>
                <w:iCs/>
              </w:rPr>
              <w:t xml:space="preserve"> for cell selection reselection, for serving cell is provided to UE.</w:t>
            </w:r>
          </w:p>
          <w:p w14:paraId="2AAB2D52" w14:textId="77777777" w:rsidR="00C00EF9" w:rsidRPr="00C00EF9" w:rsidRDefault="00C00EF9" w:rsidP="00C00EF9">
            <w:pPr>
              <w:ind w:left="313" w:hanging="284"/>
              <w:rPr>
                <w:bCs/>
                <w:iCs/>
              </w:rPr>
            </w:pPr>
            <w:r w:rsidRPr="00C00EF9">
              <w:rPr>
                <w:bCs/>
                <w:iCs/>
              </w:rPr>
              <w:t>•</w:t>
            </w:r>
            <w:r w:rsidRPr="00C00EF9">
              <w:rPr>
                <w:bCs/>
                <w:iCs/>
              </w:rPr>
              <w:tab/>
              <w:t>Wait for the progress in RAN1 before discussion on whether satellite assistance information is broadcast in a separate information block.</w:t>
            </w:r>
          </w:p>
          <w:p w14:paraId="03F67A16" w14:textId="77777777" w:rsidR="00C00EF9" w:rsidRPr="00C00EF9" w:rsidRDefault="00C00EF9" w:rsidP="00C00EF9">
            <w:pPr>
              <w:ind w:left="313" w:hanging="284"/>
              <w:rPr>
                <w:bCs/>
                <w:iCs/>
              </w:rPr>
            </w:pPr>
            <w:r w:rsidRPr="00C00EF9">
              <w:rPr>
                <w:bCs/>
                <w:iCs/>
              </w:rPr>
              <w:t>•</w:t>
            </w:r>
            <w:r w:rsidRPr="00C00EF9">
              <w:rPr>
                <w:bCs/>
                <w:iCs/>
              </w:rPr>
              <w:tab/>
              <w:t xml:space="preserve">The timing information on when a cell is going to stop serving the area is broadcast at least for the quasi-earth fixed case. FFS details. </w:t>
            </w:r>
          </w:p>
          <w:p w14:paraId="21B6428F" w14:textId="77777777" w:rsidR="00C00EF9" w:rsidRPr="00C00EF9" w:rsidRDefault="00C00EF9" w:rsidP="00C00EF9">
            <w:pPr>
              <w:ind w:left="313" w:hanging="284"/>
              <w:rPr>
                <w:bCs/>
                <w:iCs/>
              </w:rPr>
            </w:pPr>
            <w:r w:rsidRPr="00C00EF9">
              <w:rPr>
                <w:bCs/>
                <w:iCs/>
              </w:rPr>
              <w:t>•</w:t>
            </w:r>
            <w:r w:rsidRPr="00C00EF9">
              <w:rPr>
                <w:bCs/>
                <w:iCs/>
              </w:rPr>
              <w:tab/>
              <w:t>The network may broadcast more than one TAC per PLMN in a cell, which is up to network implementation.</w:t>
            </w:r>
          </w:p>
          <w:p w14:paraId="68243400" w14:textId="77777777" w:rsidR="00C00EF9" w:rsidRPr="00C00EF9" w:rsidRDefault="00C00EF9" w:rsidP="00C00EF9">
            <w:pPr>
              <w:ind w:left="313" w:hanging="284"/>
              <w:rPr>
                <w:bCs/>
                <w:iCs/>
              </w:rPr>
            </w:pPr>
            <w:r w:rsidRPr="00C00EF9">
              <w:rPr>
                <w:bCs/>
                <w:iCs/>
              </w:rPr>
              <w:t>•</w:t>
            </w:r>
            <w:r w:rsidRPr="00C00EF9">
              <w:rPr>
                <w:bCs/>
                <w:iCs/>
              </w:rPr>
              <w:tab/>
              <w:t>The UE determines the Tracking Area based on the broadcast information (the use of other information is not excluded).</w:t>
            </w:r>
          </w:p>
          <w:p w14:paraId="4FEBCBDA" w14:textId="77777777" w:rsidR="00C00EF9" w:rsidRPr="00C00EF9" w:rsidRDefault="00C00EF9" w:rsidP="00C00EF9">
            <w:pPr>
              <w:ind w:left="313" w:hanging="284"/>
              <w:rPr>
                <w:bCs/>
                <w:iCs/>
              </w:rPr>
            </w:pPr>
            <w:r w:rsidRPr="00C00EF9">
              <w:rPr>
                <w:bCs/>
                <w:iCs/>
              </w:rPr>
              <w:t>•</w:t>
            </w:r>
            <w:r w:rsidRPr="00C00EF9">
              <w:rPr>
                <w:bCs/>
                <w:iCs/>
              </w:rPr>
              <w:tab/>
              <w:t xml:space="preserve">When the network stops broadcasting a TAC, the UE needs to know it. FFS how this is done. </w:t>
            </w:r>
          </w:p>
          <w:p w14:paraId="23F83A98" w14:textId="77777777" w:rsidR="00C00EF9" w:rsidRPr="00C00EF9" w:rsidRDefault="00C00EF9" w:rsidP="00C00EF9">
            <w:pPr>
              <w:ind w:left="313" w:hanging="284"/>
              <w:rPr>
                <w:bCs/>
                <w:iCs/>
              </w:rPr>
            </w:pPr>
            <w:r w:rsidRPr="00C00EF9">
              <w:rPr>
                <w:bCs/>
                <w:iCs/>
              </w:rPr>
              <w:t>•</w:t>
            </w:r>
            <w:r w:rsidRPr="00C00EF9">
              <w:rPr>
                <w:bCs/>
                <w:iCs/>
              </w:rPr>
              <w:tab/>
              <w:t>UE does not do TAU if one of the currently broadcasted TAC belongs to UE’s registration area.</w:t>
            </w:r>
          </w:p>
          <w:p w14:paraId="04ECAF3E" w14:textId="77777777" w:rsidR="00C00EF9" w:rsidRPr="00C00EF9" w:rsidRDefault="00C00EF9" w:rsidP="00C00EF9">
            <w:pPr>
              <w:ind w:left="313" w:hanging="284"/>
              <w:rPr>
                <w:bCs/>
                <w:iCs/>
              </w:rPr>
            </w:pPr>
            <w:r w:rsidRPr="00C00EF9">
              <w:rPr>
                <w:bCs/>
                <w:iCs/>
              </w:rPr>
              <w:t>•</w:t>
            </w:r>
            <w:r w:rsidRPr="00C00EF9">
              <w:rPr>
                <w:bCs/>
                <w:iCs/>
              </w:rPr>
              <w:tab/>
              <w:t>Rel-16 LTE CHO mechanism is supported for LTE-M devices in IoT NTN. FFS which CE Mode(s) to apply</w:t>
            </w:r>
          </w:p>
          <w:p w14:paraId="070B7EB8" w14:textId="77777777" w:rsidR="00C00EF9" w:rsidRPr="00C00EF9" w:rsidRDefault="00C00EF9" w:rsidP="00C00EF9">
            <w:pPr>
              <w:ind w:left="313" w:hanging="284"/>
              <w:rPr>
                <w:bCs/>
                <w:iCs/>
              </w:rPr>
            </w:pPr>
            <w:r w:rsidRPr="00C00EF9">
              <w:rPr>
                <w:bCs/>
                <w:iCs/>
              </w:rPr>
              <w:t>•</w:t>
            </w:r>
            <w:r w:rsidRPr="00C00EF9">
              <w:rPr>
                <w:bCs/>
                <w:iCs/>
              </w:rPr>
              <w:tab/>
              <w:t>No procedural update is required to support connected mode mobility for LTE-M.</w:t>
            </w:r>
          </w:p>
          <w:p w14:paraId="5F091E3A" w14:textId="77777777" w:rsidR="00C00EF9" w:rsidRPr="00C00EF9" w:rsidRDefault="00C00EF9" w:rsidP="00C00EF9">
            <w:pPr>
              <w:ind w:left="313" w:hanging="284"/>
              <w:rPr>
                <w:bCs/>
                <w:iCs/>
              </w:rPr>
            </w:pPr>
            <w:r w:rsidRPr="00C00EF9">
              <w:rPr>
                <w:bCs/>
                <w:iCs/>
              </w:rPr>
              <w:t>•</w:t>
            </w:r>
            <w:r w:rsidRPr="00C00EF9">
              <w:rPr>
                <w:bCs/>
                <w:iCs/>
              </w:rPr>
              <w:tab/>
              <w:t>Rel-16 RLF / connection re-establishment mechanisms are supported in IoT NTN assuming that minor adjustments to UE specific timers and constants would be sufficient.</w:t>
            </w:r>
          </w:p>
          <w:p w14:paraId="7BD9788C" w14:textId="77777777" w:rsidR="00C00EF9" w:rsidRPr="00C00EF9" w:rsidRDefault="00C00EF9" w:rsidP="00C00EF9">
            <w:pPr>
              <w:ind w:left="313" w:hanging="284"/>
              <w:rPr>
                <w:bCs/>
                <w:iCs/>
              </w:rPr>
            </w:pPr>
            <w:r w:rsidRPr="00C00EF9">
              <w:rPr>
                <w:bCs/>
                <w:iCs/>
              </w:rPr>
              <w:t>•</w:t>
            </w:r>
            <w:r w:rsidRPr="00C00EF9">
              <w:rPr>
                <w:bCs/>
                <w:iCs/>
              </w:rPr>
              <w:tab/>
              <w:t xml:space="preserve">FFS if Satellite assistance information for neighbour cell(s) is provided to UE for cell selection/reselection (justification would be needed). </w:t>
            </w:r>
          </w:p>
          <w:p w14:paraId="60F29F20" w14:textId="77777777" w:rsidR="00C00EF9" w:rsidRPr="00C00EF9" w:rsidRDefault="00C00EF9" w:rsidP="00C00EF9">
            <w:pPr>
              <w:ind w:left="313" w:hanging="284"/>
              <w:rPr>
                <w:bCs/>
                <w:iCs/>
              </w:rPr>
            </w:pPr>
            <w:r w:rsidRPr="00C00EF9">
              <w:rPr>
                <w:bCs/>
                <w:iCs/>
              </w:rPr>
              <w:t>•</w:t>
            </w:r>
            <w:r w:rsidRPr="00C00EF9">
              <w:rPr>
                <w:bCs/>
                <w:iCs/>
              </w:rPr>
              <w:tab/>
              <w:t>The value range for parameter t304 is not extended with larger values.</w:t>
            </w:r>
          </w:p>
          <w:p w14:paraId="56CF69A9" w14:textId="77777777" w:rsidR="00C00EF9" w:rsidRPr="00C00EF9" w:rsidRDefault="00C00EF9" w:rsidP="00C00EF9">
            <w:pPr>
              <w:ind w:left="313" w:hanging="284"/>
              <w:rPr>
                <w:bCs/>
                <w:iCs/>
              </w:rPr>
            </w:pPr>
            <w:r w:rsidRPr="00C00EF9">
              <w:rPr>
                <w:bCs/>
                <w:iCs/>
              </w:rPr>
              <w:t>•</w:t>
            </w:r>
            <w:r w:rsidRPr="00C00EF9">
              <w:rPr>
                <w:bCs/>
                <w:iCs/>
              </w:rPr>
              <w:tab/>
              <w:t>Send an LS to RAN4 to inform that RRM impacts for supporting CHO should be taken into consideration.</w:t>
            </w:r>
          </w:p>
          <w:p w14:paraId="6E156CD5" w14:textId="77777777" w:rsidR="00C00EF9" w:rsidRPr="00C00EF9" w:rsidRDefault="00C00EF9" w:rsidP="00C00EF9">
            <w:pPr>
              <w:ind w:left="313" w:hanging="284"/>
              <w:rPr>
                <w:bCs/>
                <w:iCs/>
              </w:rPr>
            </w:pPr>
            <w:r w:rsidRPr="00C00EF9">
              <w:rPr>
                <w:bCs/>
                <w:iCs/>
              </w:rPr>
              <w:t>•</w:t>
            </w:r>
            <w:r w:rsidRPr="00C00EF9">
              <w:rPr>
                <w:bCs/>
                <w:iCs/>
              </w:rPr>
              <w:tab/>
              <w:t>Postpone the discussion on whether specific timers and constants for RLF and RRC connection re-establishment procedures require extended value range and/or new behaviour till next meeting.</w:t>
            </w:r>
          </w:p>
          <w:p w14:paraId="3A67D10D" w14:textId="46FD0B8F" w:rsidR="00B61F4E" w:rsidRDefault="00C00EF9" w:rsidP="00C00EF9">
            <w:pPr>
              <w:ind w:left="313" w:hanging="284"/>
              <w:rPr>
                <w:b/>
                <w:iCs/>
                <w:sz w:val="24"/>
                <w:szCs w:val="24"/>
              </w:rPr>
            </w:pPr>
            <w:r w:rsidRPr="00C00EF9">
              <w:rPr>
                <w:bCs/>
                <w:iCs/>
              </w:rPr>
              <w:t>•</w:t>
            </w:r>
            <w:r w:rsidRPr="00C00EF9">
              <w:rPr>
                <w:bCs/>
                <w:iCs/>
              </w:rPr>
              <w:tab/>
              <w:t>System information update notification procedure is not used to inform TAC updates, at least for TAC additions (FFS removals)</w:t>
            </w:r>
          </w:p>
        </w:tc>
      </w:tr>
    </w:tbl>
    <w:p w14:paraId="168088F5" w14:textId="5DEA453E" w:rsidR="00874F81" w:rsidRDefault="00874F81" w:rsidP="007945A7">
      <w:pPr>
        <w:jc w:val="both"/>
      </w:pPr>
    </w:p>
    <w:p w14:paraId="7F6F3BF4" w14:textId="25073D43" w:rsidR="00347D6C" w:rsidRPr="00177524" w:rsidRDefault="00347D6C" w:rsidP="007945A7">
      <w:pPr>
        <w:jc w:val="both"/>
      </w:pPr>
      <w:r>
        <w:t xml:space="preserve">In this contribution we </w:t>
      </w:r>
      <w:r w:rsidR="003A020D">
        <w:t xml:space="preserve">consider </w:t>
      </w:r>
      <w:proofErr w:type="gramStart"/>
      <w:r w:rsidR="003A020D">
        <w:t>to extend</w:t>
      </w:r>
      <w:proofErr w:type="gramEnd"/>
      <w:r w:rsidR="003A020D">
        <w:t xml:space="preserve"> the use of information needed to support discontinuous coverage to optimize the case of continuous coverage.</w:t>
      </w:r>
    </w:p>
    <w:p w14:paraId="22339CAB" w14:textId="609334FB" w:rsidR="009445CE" w:rsidRDefault="000F3707" w:rsidP="00B61F4E">
      <w:pPr>
        <w:pStyle w:val="Heading1"/>
        <w:numPr>
          <w:ilvl w:val="0"/>
          <w:numId w:val="34"/>
        </w:numPr>
        <w:pBdr>
          <w:top w:val="single" w:sz="12" w:space="5" w:color="auto"/>
        </w:pBdr>
        <w:tabs>
          <w:tab w:val="clear" w:pos="720"/>
        </w:tabs>
        <w:ind w:left="709" w:hanging="720"/>
        <w:rPr>
          <w:rFonts w:cs="Arial"/>
        </w:rPr>
      </w:pPr>
      <w:r>
        <w:rPr>
          <w:rFonts w:cs="Arial"/>
        </w:rPr>
        <w:t>Discussion</w:t>
      </w:r>
    </w:p>
    <w:p w14:paraId="199474BE" w14:textId="57BE77A6" w:rsidR="00187B81" w:rsidRDefault="00347D6C">
      <w:r>
        <w:t xml:space="preserve">As discussed in </w:t>
      </w:r>
      <w:r>
        <w:fldChar w:fldCharType="begin"/>
      </w:r>
      <w:r>
        <w:instrText xml:space="preserve"> REF _Ref85554700 \r \h </w:instrText>
      </w:r>
      <w:r>
        <w:fldChar w:fldCharType="separate"/>
      </w:r>
      <w:r>
        <w:t>[2]</w:t>
      </w:r>
      <w:r>
        <w:fldChar w:fldCharType="end"/>
      </w:r>
      <w:r>
        <w:t xml:space="preserve"> we think that, to support discontinuous coverage, various enhancements should be considered.</w:t>
      </w:r>
      <w:r w:rsidR="003A020D">
        <w:t xml:space="preserve"> </w:t>
      </w:r>
    </w:p>
    <w:p w14:paraId="4F5B8F05" w14:textId="068A87B7" w:rsidR="00347D6C" w:rsidRDefault="00347D6C"/>
    <w:p w14:paraId="0B85233E" w14:textId="2D85CD30" w:rsidR="00347D6C" w:rsidRDefault="00347D6C">
      <w:proofErr w:type="gramStart"/>
      <w:r>
        <w:t>First of all</w:t>
      </w:r>
      <w:proofErr w:type="gramEnd"/>
      <w:r>
        <w:t xml:space="preserve">, in addition to the stop time of the serving cell, the start time of the neighbouring cell is useful at least in the quasi-earth fixed case in order to inform the start and duration of a coverage gap. </w:t>
      </w:r>
      <w:r w:rsidR="00E64DBC">
        <w:t>Even in case of continuous coverage this indication to at least identify the upcoming cell could be beneficial for the UE. If the stop time of the serving cell is indicated, and the identity of the next cell to serve the area is indicated, then the UE can avoid attempting to measure on multiple neighbour cells. If the start time is not indicated for the neighbour cell, then UE would implicitly know that there is no coverage gap, but rather the coverage switches immediately from cell 1 to cell 2. UEs configured with eDRX may perform measurements only during the times when the receiver is on for monitoring paging. If the cell changes during the DRX “off” time, then when UE switches the receiver on to monitor paging and perform RRC measurements, etc. then an indication of the new cell may be used by the UE to optimise the cell selection. Given that this information would be needed for the discontinuous coverage case, then it can be optionally used also in the continuous coverage case.</w:t>
      </w:r>
      <w:r w:rsidR="002B0A7E">
        <w:t xml:space="preserve"> In particular, the UE needs to start performing neighbour cell measu</w:t>
      </w:r>
      <w:r w:rsidR="00D77BAA">
        <w:t xml:space="preserve">rements before the coverage of the current cell </w:t>
      </w:r>
      <w:r w:rsidR="00D77BAA">
        <w:lastRenderedPageBreak/>
        <w:t>stops, and the existing RSRP/RSRQ measurement thresholds may not be sufficient to ensure this is the case – arguably the thresholds could be set such that the UE always performs measurements, however this would be a burden in terms of power consumption.</w:t>
      </w:r>
    </w:p>
    <w:p w14:paraId="011D70E0" w14:textId="732728C1" w:rsidR="00BF397A" w:rsidRDefault="00BF397A"/>
    <w:p w14:paraId="2CA7E869" w14:textId="4C31BF4F" w:rsidR="00BF397A" w:rsidRDefault="00BF397A" w:rsidP="00BF397A">
      <w:r>
        <w:t>This has already been recognised in NR for which the following was agreed:</w:t>
      </w:r>
    </w:p>
    <w:p w14:paraId="408BD30B" w14:textId="77777777" w:rsidR="00BF397A" w:rsidRDefault="00BF397A" w:rsidP="00BF397A"/>
    <w:p w14:paraId="4F2C311A" w14:textId="77777777" w:rsidR="00BF397A" w:rsidRDefault="00BF397A" w:rsidP="00BF397A">
      <w:r>
        <w:t>“</w:t>
      </w:r>
      <w:r>
        <w:rPr>
          <w:i/>
          <w:iCs/>
        </w:rPr>
        <w:t xml:space="preserve">For quasi-earth fixed cell, specify that UE should start measurements on neighbour cells before the broadcast stop time of the serving cell, </w:t>
      </w:r>
      <w:proofErr w:type="gramStart"/>
      <w:r>
        <w:rPr>
          <w:i/>
          <w:iCs/>
        </w:rPr>
        <w:t>i.e.</w:t>
      </w:r>
      <w:proofErr w:type="gramEnd"/>
      <w:r>
        <w:rPr>
          <w:i/>
          <w:iCs/>
        </w:rPr>
        <w:t xml:space="preserve"> the time when the serving cell stops covering the current area, and the exact time to start measurements is up to UE implementation.</w:t>
      </w:r>
      <w:r>
        <w:t>”</w:t>
      </w:r>
    </w:p>
    <w:p w14:paraId="04BD166D" w14:textId="40085DBE" w:rsidR="00BF397A" w:rsidRDefault="00BF397A"/>
    <w:p w14:paraId="1C0106CF" w14:textId="35970F33" w:rsidR="00BF397A" w:rsidRDefault="00BF397A">
      <w:r>
        <w:t>We propose firstly to have the same agreement for IoT</w:t>
      </w:r>
      <w:r w:rsidR="00740C18">
        <w:t xml:space="preserve">, but also to support discontinuous coverage we need the start time of the neighbour </w:t>
      </w:r>
      <w:proofErr w:type="gramStart"/>
      <w:r w:rsidR="00740C18">
        <w:t>cell.</w:t>
      </w:r>
      <w:r>
        <w:t>.</w:t>
      </w:r>
      <w:proofErr w:type="gramEnd"/>
      <w:r>
        <w:t xml:space="preserve"> </w:t>
      </w:r>
    </w:p>
    <w:p w14:paraId="0FEC4EC6" w14:textId="485BA8CF" w:rsidR="00BF397A" w:rsidRDefault="00BF397A"/>
    <w:p w14:paraId="7F67F798" w14:textId="134D7E56" w:rsidR="00BF397A" w:rsidRPr="0088669D" w:rsidRDefault="00BF397A">
      <w:pPr>
        <w:rPr>
          <w:b/>
          <w:bCs/>
        </w:rPr>
      </w:pPr>
      <w:r w:rsidRPr="0088669D">
        <w:rPr>
          <w:b/>
          <w:bCs/>
        </w:rPr>
        <w:t xml:space="preserve">Proposal 1a: For quasi-earth fixed cell, specify that UE should start measurements on neighbour cells before the broadcast stop time of the serving cell, </w:t>
      </w:r>
      <w:proofErr w:type="gramStart"/>
      <w:r w:rsidRPr="0088669D">
        <w:rPr>
          <w:b/>
          <w:bCs/>
        </w:rPr>
        <w:t>i.e.</w:t>
      </w:r>
      <w:proofErr w:type="gramEnd"/>
      <w:r w:rsidRPr="0088669D">
        <w:rPr>
          <w:b/>
          <w:bCs/>
        </w:rPr>
        <w:t xml:space="preserve"> the time when the serving cell stops covering the current area, and the exact time to start measurements is up to UE implementation</w:t>
      </w:r>
    </w:p>
    <w:p w14:paraId="483C932A" w14:textId="77777777" w:rsidR="00BF397A" w:rsidRDefault="00BF397A"/>
    <w:p w14:paraId="1E18C00C" w14:textId="1267D5F3" w:rsidR="00D77BAA" w:rsidRDefault="007A7355">
      <w:pPr>
        <w:rPr>
          <w:b/>
          <w:bCs/>
        </w:rPr>
      </w:pPr>
      <w:r w:rsidRPr="00681332">
        <w:rPr>
          <w:b/>
          <w:bCs/>
        </w:rPr>
        <w:t>Proposal 1</w:t>
      </w:r>
      <w:r w:rsidR="00BF397A">
        <w:rPr>
          <w:b/>
          <w:bCs/>
        </w:rPr>
        <w:t>b</w:t>
      </w:r>
      <w:r w:rsidRPr="00681332">
        <w:rPr>
          <w:b/>
          <w:bCs/>
        </w:rPr>
        <w:t xml:space="preserve">: </w:t>
      </w:r>
      <w:r>
        <w:rPr>
          <w:b/>
          <w:bCs/>
        </w:rPr>
        <w:t>Introduce an i</w:t>
      </w:r>
      <w:r w:rsidRPr="00681332">
        <w:rPr>
          <w:b/>
          <w:bCs/>
        </w:rPr>
        <w:t>ndication of neighbour cell start time for the quasi-earth fixed discontinuous coverage case</w:t>
      </w:r>
    </w:p>
    <w:p w14:paraId="286431D9" w14:textId="4CF7EF18" w:rsidR="00BF397A" w:rsidRDefault="00BF397A">
      <w:pPr>
        <w:rPr>
          <w:b/>
          <w:bCs/>
        </w:rPr>
      </w:pPr>
    </w:p>
    <w:p w14:paraId="71670A97" w14:textId="08F3A90B" w:rsidR="00BF397A" w:rsidRDefault="00BF397A" w:rsidP="00BF397A">
      <w:r>
        <w:t xml:space="preserve">In case there is no start time for a neighbour cell, and only the stop time for the serving cell, this may </w:t>
      </w:r>
      <w:proofErr w:type="spellStart"/>
      <w:r>
        <w:t>imply</w:t>
      </w:r>
      <w:proofErr w:type="spellEnd"/>
      <w:r>
        <w:t xml:space="preserve"> no coverage gap</w:t>
      </w:r>
      <w:r w:rsidR="00740C18">
        <w:t xml:space="preserve"> (</w:t>
      </w:r>
      <w:proofErr w:type="gramStart"/>
      <w:r w:rsidR="00740C18">
        <w:t>i.e.</w:t>
      </w:r>
      <w:proofErr w:type="gramEnd"/>
      <w:r w:rsidR="00740C18">
        <w:t xml:space="preserve"> neighbour cell start time may be simultaneous with the serving cell start time)</w:t>
      </w:r>
      <w:r>
        <w:t xml:space="preserve">. </w:t>
      </w:r>
      <w:proofErr w:type="gramStart"/>
      <w:r>
        <w:t>However</w:t>
      </w:r>
      <w:proofErr w:type="gramEnd"/>
      <w:r>
        <w:t xml:space="preserve"> there might be a short peri</w:t>
      </w:r>
      <w:r w:rsidR="00740C18">
        <w:t xml:space="preserve">od of overlap. </w:t>
      </w:r>
    </w:p>
    <w:p w14:paraId="5E9C3E97" w14:textId="77777777" w:rsidR="00BF397A" w:rsidRDefault="00BF397A"/>
    <w:p w14:paraId="68D08DA7" w14:textId="348782F3" w:rsidR="00681332" w:rsidRDefault="00E64DBC">
      <w:pPr>
        <w:rPr>
          <w:b/>
          <w:bCs/>
        </w:rPr>
      </w:pPr>
      <w:r w:rsidRPr="00681332">
        <w:rPr>
          <w:b/>
          <w:bCs/>
        </w:rPr>
        <w:t>Proposal 1</w:t>
      </w:r>
      <w:r w:rsidR="007E6617">
        <w:rPr>
          <w:b/>
          <w:bCs/>
        </w:rPr>
        <w:t>c</w:t>
      </w:r>
      <w:r w:rsidRPr="00681332">
        <w:rPr>
          <w:b/>
          <w:bCs/>
        </w:rPr>
        <w:t xml:space="preserve">: </w:t>
      </w:r>
      <w:r w:rsidR="00AD0FAA">
        <w:rPr>
          <w:b/>
          <w:bCs/>
        </w:rPr>
        <w:t>If it is agreed to introduce an i</w:t>
      </w:r>
      <w:r w:rsidR="00681332" w:rsidRPr="00681332">
        <w:rPr>
          <w:b/>
          <w:bCs/>
        </w:rPr>
        <w:t>ndication of neighbour cell s</w:t>
      </w:r>
      <w:r w:rsidRPr="00681332">
        <w:rPr>
          <w:b/>
          <w:bCs/>
        </w:rPr>
        <w:t xml:space="preserve">tart time </w:t>
      </w:r>
      <w:r w:rsidR="00681332" w:rsidRPr="00681332">
        <w:rPr>
          <w:b/>
          <w:bCs/>
        </w:rPr>
        <w:t xml:space="preserve">for the quasi-earth fixed discontinuous coverage case, it may optionally </w:t>
      </w:r>
      <w:r w:rsidR="00AD0FAA">
        <w:rPr>
          <w:b/>
          <w:bCs/>
        </w:rPr>
        <w:t xml:space="preserve">also </w:t>
      </w:r>
      <w:r w:rsidR="00681332" w:rsidRPr="00681332">
        <w:rPr>
          <w:b/>
          <w:bCs/>
        </w:rPr>
        <w:t>be used by the UE to optimise cell reselection in the continuous coverage case.</w:t>
      </w:r>
    </w:p>
    <w:p w14:paraId="0EF196C8" w14:textId="77777777" w:rsidR="00681332" w:rsidRDefault="00681332">
      <w:pPr>
        <w:rPr>
          <w:b/>
          <w:bCs/>
        </w:rPr>
      </w:pPr>
    </w:p>
    <w:p w14:paraId="4019A456" w14:textId="0444108E" w:rsidR="00532914" w:rsidRDefault="00532914">
      <w:proofErr w:type="gramStart"/>
      <w:r>
        <w:t>Similar to</w:t>
      </w:r>
      <w:proofErr w:type="gramEnd"/>
      <w:r>
        <w:t xml:space="preserve"> the discussion in </w:t>
      </w:r>
      <w:r>
        <w:fldChar w:fldCharType="begin"/>
      </w:r>
      <w:r>
        <w:instrText xml:space="preserve"> REF _Ref85554700 \r \h </w:instrText>
      </w:r>
      <w:r>
        <w:fldChar w:fldCharType="separate"/>
      </w:r>
      <w:r>
        <w:t>[2]</w:t>
      </w:r>
      <w:r>
        <w:fldChar w:fldCharType="end"/>
      </w:r>
      <w:r>
        <w:t xml:space="preserve">, </w:t>
      </w:r>
      <w:r w:rsidR="003A020D">
        <w:t xml:space="preserve">for the earth moving scenario, </w:t>
      </w:r>
      <w:r>
        <w:t xml:space="preserve">in order </w:t>
      </w:r>
      <w:r w:rsidR="003A020D">
        <w:t xml:space="preserve">for the UE to estimate the timing of a </w:t>
      </w:r>
      <w:r>
        <w:t xml:space="preserve">coverage gap, </w:t>
      </w:r>
      <w:r w:rsidR="003A020D">
        <w:t xml:space="preserve">the network could provide </w:t>
      </w:r>
      <w:r w:rsidR="003A020D" w:rsidRPr="003A020D">
        <w:t>a reference point location of the current and upcoming neighbor cell and satellite ephemeris data of current and upcoming neighbour cell.</w:t>
      </w:r>
      <w:r w:rsidR="003A020D">
        <w:t xml:space="preserve"> </w:t>
      </w:r>
      <w:r w:rsidR="001B3051">
        <w:t xml:space="preserve">In </w:t>
      </w:r>
      <w:proofErr w:type="gramStart"/>
      <w:r w:rsidR="001B3051">
        <w:t>addition</w:t>
      </w:r>
      <w:proofErr w:type="gramEnd"/>
      <w:r w:rsidR="001B3051">
        <w:t xml:space="preserve"> this was agreed for NR “</w:t>
      </w:r>
      <w:r w:rsidR="001B3051">
        <w:rPr>
          <w:i/>
          <w:iCs/>
        </w:rPr>
        <w:t xml:space="preserve">"For quasi-earth fixed cell, the reference location of the cell (serving cell or the </w:t>
      </w:r>
      <w:proofErr w:type="spellStart"/>
      <w:r w:rsidR="001B3051">
        <w:rPr>
          <w:i/>
          <w:iCs/>
        </w:rPr>
        <w:t>neighbor</w:t>
      </w:r>
      <w:proofErr w:type="spellEnd"/>
      <w:r w:rsidR="001B3051">
        <w:rPr>
          <w:i/>
          <w:iCs/>
        </w:rPr>
        <w:t xml:space="preserve"> cells) is broadcast in system information". </w:t>
      </w:r>
      <w:r w:rsidR="003A020D">
        <w:t xml:space="preserve">Similarly, this information could be provided for the </w:t>
      </w:r>
      <w:r w:rsidR="001B3051">
        <w:t xml:space="preserve">IoT </w:t>
      </w:r>
      <w:r w:rsidR="003A020D">
        <w:t>UE to estimate the timing of a</w:t>
      </w:r>
      <w:r w:rsidR="00E10BE8">
        <w:t>n earth moving</w:t>
      </w:r>
      <w:r w:rsidR="003A020D">
        <w:t xml:space="preserve"> cell change in the continuous coverage case. In other words, information needed to support discontinuous coverage could also be used to optimise the continuous coverage case.</w:t>
      </w:r>
    </w:p>
    <w:p w14:paraId="1D1457A2" w14:textId="30729F5E" w:rsidR="003A020D" w:rsidRDefault="003A020D"/>
    <w:p w14:paraId="5646BCD1" w14:textId="0047FD5B" w:rsidR="00E052B9" w:rsidRDefault="00E052B9">
      <w:pPr>
        <w:rPr>
          <w:b/>
          <w:bCs/>
        </w:rPr>
      </w:pPr>
      <w:r>
        <w:rPr>
          <w:b/>
          <w:bCs/>
        </w:rPr>
        <w:t xml:space="preserve">Proposal 2a: </w:t>
      </w:r>
      <w:r w:rsidRPr="00E052B9">
        <w:rPr>
          <w:b/>
          <w:bCs/>
        </w:rPr>
        <w:t xml:space="preserve">For </w:t>
      </w:r>
      <w:r>
        <w:rPr>
          <w:b/>
          <w:bCs/>
        </w:rPr>
        <w:t>earth moving</w:t>
      </w:r>
      <w:r w:rsidRPr="00E052B9">
        <w:rPr>
          <w:b/>
          <w:bCs/>
        </w:rPr>
        <w:t xml:space="preserve"> cell, the reference location of the cell (serving cell or the neighbor cells) is broadcast in system information</w:t>
      </w:r>
    </w:p>
    <w:p w14:paraId="64CF31E5" w14:textId="77777777" w:rsidR="00FC59D9" w:rsidRDefault="00FC59D9">
      <w:pPr>
        <w:rPr>
          <w:b/>
          <w:bCs/>
        </w:rPr>
      </w:pPr>
    </w:p>
    <w:p w14:paraId="0C6B6891" w14:textId="0155A4AD" w:rsidR="003A020D" w:rsidRPr="003A020D" w:rsidRDefault="003A020D">
      <w:pPr>
        <w:rPr>
          <w:b/>
          <w:bCs/>
        </w:rPr>
      </w:pPr>
      <w:r w:rsidRPr="003A020D">
        <w:rPr>
          <w:b/>
          <w:bCs/>
        </w:rPr>
        <w:t>Proposal 2</w:t>
      </w:r>
      <w:r w:rsidR="00E052B9">
        <w:rPr>
          <w:b/>
          <w:bCs/>
        </w:rPr>
        <w:t>b</w:t>
      </w:r>
      <w:r w:rsidRPr="003A020D">
        <w:rPr>
          <w:b/>
          <w:bCs/>
        </w:rPr>
        <w:t xml:space="preserve">: If it is agreed </w:t>
      </w:r>
      <w:r w:rsidR="007E6617">
        <w:rPr>
          <w:b/>
          <w:bCs/>
        </w:rPr>
        <w:t xml:space="preserve">for the case of earth moving cell </w:t>
      </w:r>
      <w:r w:rsidRPr="003A020D">
        <w:rPr>
          <w:b/>
          <w:bCs/>
        </w:rPr>
        <w:t xml:space="preserve">to provide satellite </w:t>
      </w:r>
      <w:r w:rsidR="00FC59D9">
        <w:rPr>
          <w:b/>
          <w:bCs/>
        </w:rPr>
        <w:t xml:space="preserve">location </w:t>
      </w:r>
      <w:r w:rsidRPr="003A020D">
        <w:rPr>
          <w:b/>
          <w:bCs/>
        </w:rPr>
        <w:t>assistance information to the UE for estimation of the coverage gap timing using location estimation, then this information can be used to estimate the cell change timing in the continuous coverage case.</w:t>
      </w:r>
    </w:p>
    <w:p w14:paraId="3858B7DC" w14:textId="449E6A93" w:rsidR="003A020D" w:rsidRDefault="003A020D">
      <w:r>
        <w:t xml:space="preserve"> </w:t>
      </w:r>
    </w:p>
    <w:p w14:paraId="71C969F8" w14:textId="377C8C28" w:rsidR="00E64DBC" w:rsidRDefault="00AD0FAA">
      <w:r w:rsidRPr="00AD0FAA">
        <w:t xml:space="preserve">For the case of RLF, </w:t>
      </w:r>
      <w:r>
        <w:t xml:space="preserve">and particularly for the NB-IoT case, it seems beneficial to introduce a new condition to avoid entering RRC re-establishment too soon during a coverage gap. For the case of continuous </w:t>
      </w:r>
      <w:proofErr w:type="gramStart"/>
      <w:r>
        <w:t>coverage</w:t>
      </w:r>
      <w:proofErr w:type="gramEnd"/>
      <w:r>
        <w:t xml:space="preserve"> the problem is </w:t>
      </w:r>
      <w:r w:rsidR="00532914">
        <w:t xml:space="preserve">the </w:t>
      </w:r>
      <w:r>
        <w:t>opposite</w:t>
      </w:r>
      <w:r w:rsidR="00532914">
        <w:t xml:space="preserve"> – rather than re-establishment being too soon it would be later than necessary</w:t>
      </w:r>
      <w:r>
        <w:t>. If the UE knows the time at which the current cell will stop serving the area</w:t>
      </w:r>
      <w:r w:rsidR="00532914">
        <w:t xml:space="preserve">, and the time a new cell will start serving the area, then there is no need to perform the entire RLF procedure – UE could re-establish on the new cell, if it is known in advance, without waiting for T310. This would maximise the amount of time the UE is in service because less time is wasted waiting for expiry of timers designed to work for completely different scenarios. </w:t>
      </w:r>
    </w:p>
    <w:p w14:paraId="59F61A3D" w14:textId="51598833" w:rsidR="00532914" w:rsidRDefault="00532914"/>
    <w:p w14:paraId="72CAF7E6" w14:textId="13970FD5" w:rsidR="00532914" w:rsidRPr="00532914" w:rsidRDefault="00532914">
      <w:pPr>
        <w:rPr>
          <w:b/>
          <w:bCs/>
        </w:rPr>
      </w:pPr>
      <w:r w:rsidRPr="00532914">
        <w:rPr>
          <w:b/>
          <w:bCs/>
        </w:rPr>
        <w:t xml:space="preserve">Proposal </w:t>
      </w:r>
      <w:r w:rsidR="003A020D">
        <w:rPr>
          <w:b/>
          <w:bCs/>
        </w:rPr>
        <w:t>3</w:t>
      </w:r>
      <w:r w:rsidRPr="00532914">
        <w:rPr>
          <w:b/>
          <w:bCs/>
        </w:rPr>
        <w:t>: If the UE is provided with the stop time of the current cell and the start time of the new cell, then no need to wait for T310</w:t>
      </w:r>
      <w:r w:rsidR="00FC59D9">
        <w:rPr>
          <w:b/>
          <w:bCs/>
        </w:rPr>
        <w:t xml:space="preserve"> to expire</w:t>
      </w:r>
      <w:r w:rsidRPr="00532914">
        <w:rPr>
          <w:b/>
          <w:bCs/>
        </w:rPr>
        <w:t xml:space="preserve"> when performing RLF/re-establishment</w:t>
      </w:r>
      <w:r w:rsidR="00483B88">
        <w:rPr>
          <w:b/>
          <w:bCs/>
        </w:rPr>
        <w:t xml:space="preserve"> in the continuous coverage case</w:t>
      </w:r>
      <w:r w:rsidRPr="00532914">
        <w:rPr>
          <w:b/>
          <w:bCs/>
        </w:rPr>
        <w:t>.</w:t>
      </w:r>
    </w:p>
    <w:p w14:paraId="04C1FE5F" w14:textId="77777777" w:rsidR="00681332" w:rsidRDefault="00681332">
      <w:pPr>
        <w:rPr>
          <w:rFonts w:ascii="Arial" w:eastAsia="SimSun" w:hAnsi="Arial" w:cs="Arial"/>
          <w:sz w:val="32"/>
          <w:szCs w:val="32"/>
          <w:lang w:eastAsia="zh-CN"/>
        </w:rPr>
      </w:pPr>
    </w:p>
    <w:p w14:paraId="3459CB04" w14:textId="77777777" w:rsidR="0088669D" w:rsidRDefault="0088669D">
      <w:pPr>
        <w:rPr>
          <w:rFonts w:cs="Arial"/>
          <w:b/>
          <w:bCs/>
          <w:kern w:val="32"/>
          <w:sz w:val="32"/>
          <w:szCs w:val="32"/>
        </w:rPr>
      </w:pPr>
      <w:r>
        <w:rPr>
          <w:rFonts w:cs="Arial"/>
        </w:rPr>
        <w:br w:type="page"/>
      </w:r>
    </w:p>
    <w:p w14:paraId="73A555FC" w14:textId="3EF411C0" w:rsidR="000A5764" w:rsidRPr="00346012" w:rsidRDefault="000A5764" w:rsidP="00C00EF9">
      <w:pPr>
        <w:pStyle w:val="Heading1"/>
        <w:numPr>
          <w:ilvl w:val="0"/>
          <w:numId w:val="34"/>
        </w:numPr>
        <w:pBdr>
          <w:top w:val="single" w:sz="12" w:space="5" w:color="auto"/>
        </w:pBdr>
        <w:spacing w:after="160" w:line="22" w:lineRule="atLeast"/>
        <w:ind w:hanging="720"/>
      </w:pPr>
      <w:r w:rsidRPr="008645A0">
        <w:rPr>
          <w:rFonts w:cs="Arial"/>
        </w:rPr>
        <w:lastRenderedPageBreak/>
        <w:t>Conclusion</w:t>
      </w:r>
    </w:p>
    <w:p w14:paraId="1359C1F8" w14:textId="3FBB360B" w:rsidR="00E37E78" w:rsidRDefault="00483B88" w:rsidP="00F169FC">
      <w:pPr>
        <w:jc w:val="both"/>
        <w:rPr>
          <w:lang w:eastAsia="zh-CN"/>
        </w:rPr>
      </w:pPr>
      <w:r>
        <w:rPr>
          <w:lang w:eastAsia="zh-CN"/>
        </w:rPr>
        <w:t>We have the following proposals:</w:t>
      </w:r>
    </w:p>
    <w:p w14:paraId="0C1512AD" w14:textId="77777777" w:rsidR="00483B88" w:rsidRDefault="00483B88" w:rsidP="00F169FC">
      <w:pPr>
        <w:jc w:val="both"/>
        <w:rPr>
          <w:lang w:eastAsia="zh-CN"/>
        </w:rPr>
      </w:pPr>
    </w:p>
    <w:p w14:paraId="2E27053A" w14:textId="77777777" w:rsidR="00FC59D9" w:rsidRPr="00FC59D9" w:rsidRDefault="00FC59D9" w:rsidP="00FC59D9">
      <w:pPr>
        <w:rPr>
          <w:b/>
          <w:bCs/>
        </w:rPr>
      </w:pPr>
      <w:r w:rsidRPr="00FC59D9">
        <w:rPr>
          <w:b/>
          <w:bCs/>
        </w:rPr>
        <w:t xml:space="preserve">Proposal 1a: For quasi-earth fixed cell, specify that UE should start measurements on neighbour cells before the broadcast stop time of the serving cell, </w:t>
      </w:r>
      <w:proofErr w:type="gramStart"/>
      <w:r w:rsidRPr="00FC59D9">
        <w:rPr>
          <w:b/>
          <w:bCs/>
        </w:rPr>
        <w:t>i.e.</w:t>
      </w:r>
      <w:proofErr w:type="gramEnd"/>
      <w:r w:rsidRPr="00FC59D9">
        <w:rPr>
          <w:b/>
          <w:bCs/>
        </w:rPr>
        <w:t xml:space="preserve"> the time when the serving cell stops covering the current area, and the exact time to start measurements is up to UE implementation</w:t>
      </w:r>
    </w:p>
    <w:p w14:paraId="2A004702" w14:textId="77777777" w:rsidR="00FC59D9" w:rsidRDefault="00FC59D9" w:rsidP="00FC59D9"/>
    <w:p w14:paraId="67B0CF65" w14:textId="4DB77C8B" w:rsidR="00FC59D9" w:rsidRDefault="00FC59D9" w:rsidP="00FC59D9">
      <w:pPr>
        <w:rPr>
          <w:b/>
          <w:bCs/>
        </w:rPr>
      </w:pPr>
      <w:r w:rsidRPr="00681332">
        <w:rPr>
          <w:b/>
          <w:bCs/>
        </w:rPr>
        <w:t>Proposal 1</w:t>
      </w:r>
      <w:r>
        <w:rPr>
          <w:b/>
          <w:bCs/>
        </w:rPr>
        <w:t>b</w:t>
      </w:r>
      <w:r w:rsidRPr="00681332">
        <w:rPr>
          <w:b/>
          <w:bCs/>
        </w:rPr>
        <w:t xml:space="preserve">: </w:t>
      </w:r>
      <w:r>
        <w:rPr>
          <w:b/>
          <w:bCs/>
        </w:rPr>
        <w:t>Introduce an i</w:t>
      </w:r>
      <w:r w:rsidRPr="00681332">
        <w:rPr>
          <w:b/>
          <w:bCs/>
        </w:rPr>
        <w:t>ndication of neighbour cell start time for the quasi-earth fixed discontinuous coverage case</w:t>
      </w:r>
    </w:p>
    <w:p w14:paraId="1FEF5EF9" w14:textId="77777777" w:rsidR="00FC59D9" w:rsidRDefault="00FC59D9" w:rsidP="00FC59D9"/>
    <w:p w14:paraId="3D1B3CD1" w14:textId="1331B94A" w:rsidR="00FC59D9" w:rsidRDefault="00FC59D9" w:rsidP="00FC59D9">
      <w:pPr>
        <w:rPr>
          <w:b/>
          <w:bCs/>
        </w:rPr>
      </w:pPr>
      <w:r w:rsidRPr="00681332">
        <w:rPr>
          <w:b/>
          <w:bCs/>
        </w:rPr>
        <w:t>Proposal 1</w:t>
      </w:r>
      <w:r>
        <w:rPr>
          <w:b/>
          <w:bCs/>
        </w:rPr>
        <w:t>c</w:t>
      </w:r>
      <w:r w:rsidRPr="00681332">
        <w:rPr>
          <w:b/>
          <w:bCs/>
        </w:rPr>
        <w:t xml:space="preserve">: </w:t>
      </w:r>
      <w:r>
        <w:rPr>
          <w:b/>
          <w:bCs/>
        </w:rPr>
        <w:t>If it is agreed to introduce an i</w:t>
      </w:r>
      <w:r w:rsidRPr="00681332">
        <w:rPr>
          <w:b/>
          <w:bCs/>
        </w:rPr>
        <w:t xml:space="preserve">ndication of neighbour cell start time for the quasi-earth fixed discontinuous coverage case, it may optionally </w:t>
      </w:r>
      <w:r>
        <w:rPr>
          <w:b/>
          <w:bCs/>
        </w:rPr>
        <w:t xml:space="preserve">also </w:t>
      </w:r>
      <w:r w:rsidRPr="00681332">
        <w:rPr>
          <w:b/>
          <w:bCs/>
        </w:rPr>
        <w:t>be used by the UE to optimise cell reselection in the continuous coverage case.</w:t>
      </w:r>
    </w:p>
    <w:p w14:paraId="5DEA2EAE" w14:textId="77777777" w:rsidR="003A020D" w:rsidRDefault="003A020D" w:rsidP="003A020D"/>
    <w:p w14:paraId="665D359C" w14:textId="77777777" w:rsidR="00FC59D9" w:rsidRDefault="00FC59D9" w:rsidP="00FC59D9">
      <w:pPr>
        <w:rPr>
          <w:b/>
          <w:bCs/>
        </w:rPr>
      </w:pPr>
      <w:r>
        <w:rPr>
          <w:b/>
          <w:bCs/>
        </w:rPr>
        <w:t xml:space="preserve">Proposal 2a: </w:t>
      </w:r>
      <w:r w:rsidRPr="00E052B9">
        <w:rPr>
          <w:b/>
          <w:bCs/>
        </w:rPr>
        <w:t xml:space="preserve">For </w:t>
      </w:r>
      <w:r>
        <w:rPr>
          <w:b/>
          <w:bCs/>
        </w:rPr>
        <w:t>earth moving</w:t>
      </w:r>
      <w:r w:rsidRPr="00E052B9">
        <w:rPr>
          <w:b/>
          <w:bCs/>
        </w:rPr>
        <w:t xml:space="preserve"> cell, the reference location of the cell (serving cell or the </w:t>
      </w:r>
      <w:proofErr w:type="spellStart"/>
      <w:r w:rsidRPr="00E052B9">
        <w:rPr>
          <w:b/>
          <w:bCs/>
        </w:rPr>
        <w:t>neighbor</w:t>
      </w:r>
      <w:proofErr w:type="spellEnd"/>
      <w:r w:rsidRPr="00E052B9">
        <w:rPr>
          <w:b/>
          <w:bCs/>
        </w:rPr>
        <w:t xml:space="preserve"> cells) is broadcast in system information</w:t>
      </w:r>
    </w:p>
    <w:p w14:paraId="20DE8B79" w14:textId="77777777" w:rsidR="00FC59D9" w:rsidRDefault="00FC59D9" w:rsidP="00FC59D9">
      <w:pPr>
        <w:rPr>
          <w:b/>
          <w:bCs/>
        </w:rPr>
      </w:pPr>
    </w:p>
    <w:p w14:paraId="149966B8" w14:textId="77777777" w:rsidR="00FC59D9" w:rsidRPr="003A020D" w:rsidRDefault="00FC59D9" w:rsidP="00FC59D9">
      <w:pPr>
        <w:rPr>
          <w:b/>
          <w:bCs/>
        </w:rPr>
      </w:pPr>
      <w:r w:rsidRPr="003A020D">
        <w:rPr>
          <w:b/>
          <w:bCs/>
        </w:rPr>
        <w:t>Proposal 2</w:t>
      </w:r>
      <w:r>
        <w:rPr>
          <w:b/>
          <w:bCs/>
        </w:rPr>
        <w:t>b</w:t>
      </w:r>
      <w:r w:rsidRPr="003A020D">
        <w:rPr>
          <w:b/>
          <w:bCs/>
        </w:rPr>
        <w:t xml:space="preserve">: If it is agreed </w:t>
      </w:r>
      <w:r>
        <w:rPr>
          <w:b/>
          <w:bCs/>
        </w:rPr>
        <w:t xml:space="preserve">for the case of earth moving cell </w:t>
      </w:r>
      <w:r w:rsidRPr="003A020D">
        <w:rPr>
          <w:b/>
          <w:bCs/>
        </w:rPr>
        <w:t xml:space="preserve">to provide satellite </w:t>
      </w:r>
      <w:r>
        <w:rPr>
          <w:b/>
          <w:bCs/>
        </w:rPr>
        <w:t xml:space="preserve">location </w:t>
      </w:r>
      <w:r w:rsidRPr="003A020D">
        <w:rPr>
          <w:b/>
          <w:bCs/>
        </w:rPr>
        <w:t>assistance information to the UE for estimation of the coverage gap timing using location estimation, then this information can be used to estimate the cell change timing in the continuous coverage case.</w:t>
      </w:r>
    </w:p>
    <w:p w14:paraId="31CAA02E" w14:textId="77777777" w:rsidR="003A020D" w:rsidRDefault="003A020D" w:rsidP="003A020D">
      <w:r>
        <w:t xml:space="preserve"> </w:t>
      </w:r>
    </w:p>
    <w:p w14:paraId="7D37F08C" w14:textId="0BFE6974" w:rsidR="003A020D" w:rsidRPr="00532914" w:rsidRDefault="003A020D" w:rsidP="003A020D">
      <w:pPr>
        <w:rPr>
          <w:b/>
          <w:bCs/>
        </w:rPr>
      </w:pPr>
      <w:r w:rsidRPr="00532914">
        <w:rPr>
          <w:b/>
          <w:bCs/>
        </w:rPr>
        <w:t xml:space="preserve">Proposal </w:t>
      </w:r>
      <w:r>
        <w:rPr>
          <w:b/>
          <w:bCs/>
        </w:rPr>
        <w:t>3</w:t>
      </w:r>
      <w:r w:rsidRPr="00532914">
        <w:rPr>
          <w:b/>
          <w:bCs/>
        </w:rPr>
        <w:t>: If the UE is provided with the stop time of the current cell and the start time of the new cell, then no need to wait for T310 when performing RLF/re-establishment</w:t>
      </w:r>
      <w:r w:rsidR="00483B88">
        <w:rPr>
          <w:b/>
          <w:bCs/>
        </w:rPr>
        <w:t xml:space="preserve"> in the continuous coverage case.</w:t>
      </w:r>
    </w:p>
    <w:p w14:paraId="48EB0316" w14:textId="0BC7FF7E" w:rsidR="00F169FC" w:rsidRPr="003A020D" w:rsidRDefault="00F169FC" w:rsidP="00F169FC">
      <w:pPr>
        <w:jc w:val="both"/>
        <w:rPr>
          <w:lang w:eastAsia="zh-CN"/>
        </w:rPr>
      </w:pPr>
    </w:p>
    <w:p w14:paraId="5CF8A4B5" w14:textId="7B28BAB5" w:rsidR="00033C94" w:rsidRDefault="000A5764" w:rsidP="00C00EF9">
      <w:pPr>
        <w:pStyle w:val="Heading1"/>
        <w:numPr>
          <w:ilvl w:val="0"/>
          <w:numId w:val="34"/>
        </w:numPr>
        <w:pBdr>
          <w:top w:val="single" w:sz="12" w:space="5" w:color="auto"/>
        </w:pBdr>
        <w:spacing w:after="160" w:line="22" w:lineRule="atLeast"/>
        <w:ind w:hanging="720"/>
        <w:rPr>
          <w:rFonts w:cs="Arial"/>
        </w:rPr>
      </w:pPr>
      <w:r w:rsidRPr="008645A0">
        <w:rPr>
          <w:rFonts w:cs="Arial"/>
        </w:rPr>
        <w:t>References</w:t>
      </w:r>
    </w:p>
    <w:p w14:paraId="16721A88" w14:textId="20D226CF" w:rsidR="00060066" w:rsidRDefault="00060066" w:rsidP="002E599D">
      <w:pPr>
        <w:pStyle w:val="Reference"/>
        <w:numPr>
          <w:ilvl w:val="0"/>
          <w:numId w:val="27"/>
        </w:numPr>
        <w:overflowPunct w:val="0"/>
        <w:autoSpaceDE w:val="0"/>
        <w:autoSpaceDN w:val="0"/>
        <w:adjustRightInd w:val="0"/>
        <w:jc w:val="both"/>
        <w:textAlignment w:val="baseline"/>
        <w:rPr>
          <w:rFonts w:eastAsia="Arial Unicode MS"/>
        </w:rPr>
      </w:pPr>
      <w:r w:rsidRPr="0020665C">
        <w:rPr>
          <w:rFonts w:eastAsia="Arial Unicode MS"/>
        </w:rPr>
        <w:t>Chairman’s Notes, 3GPP WG</w:t>
      </w:r>
      <w:r w:rsidR="002E599D">
        <w:rPr>
          <w:rFonts w:eastAsia="Arial Unicode MS"/>
        </w:rPr>
        <w:t>2</w:t>
      </w:r>
      <w:r w:rsidRPr="0020665C">
        <w:rPr>
          <w:rFonts w:eastAsia="Arial Unicode MS"/>
        </w:rPr>
        <w:t xml:space="preserve"> #1</w:t>
      </w:r>
      <w:r w:rsidR="002E599D">
        <w:rPr>
          <w:rFonts w:eastAsia="Arial Unicode MS"/>
        </w:rPr>
        <w:t>1</w:t>
      </w:r>
      <w:r>
        <w:rPr>
          <w:rFonts w:eastAsia="Arial Unicode MS"/>
        </w:rPr>
        <w:t>5</w:t>
      </w:r>
      <w:r w:rsidRPr="0020665C">
        <w:rPr>
          <w:rFonts w:eastAsia="Arial Unicode MS"/>
        </w:rPr>
        <w:t>-e</w:t>
      </w:r>
    </w:p>
    <w:p w14:paraId="392792AA" w14:textId="759E08B9" w:rsidR="00C00EF9" w:rsidRDefault="00C00EF9"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85554700"/>
      <w:r>
        <w:rPr>
          <w:rFonts w:eastAsia="Arial Unicode MS"/>
        </w:rPr>
        <w:t>R2-21</w:t>
      </w:r>
      <w:r w:rsidR="00FC59D9">
        <w:rPr>
          <w:rFonts w:eastAsia="Arial Unicode MS"/>
        </w:rPr>
        <w:t>10549</w:t>
      </w:r>
      <w:r>
        <w:rPr>
          <w:rFonts w:eastAsia="Arial Unicode MS"/>
        </w:rPr>
        <w:t>, “</w:t>
      </w:r>
      <w:r w:rsidRPr="00C00EF9">
        <w:rPr>
          <w:rFonts w:eastAsia="Arial Unicode MS"/>
        </w:rPr>
        <w:t>Support of Discontinuous Coverage for IoT-NTN</w:t>
      </w:r>
      <w:r>
        <w:rPr>
          <w:rFonts w:eastAsia="Arial Unicode MS"/>
        </w:rPr>
        <w:t>”, Interdigital, Inc.</w:t>
      </w:r>
      <w:bookmarkEnd w:id="0"/>
    </w:p>
    <w:p w14:paraId="445F0D43" w14:textId="327089BB" w:rsidR="004B4728" w:rsidRPr="001105A3"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4EA65" w14:textId="77777777" w:rsidR="00697927" w:rsidRDefault="00697927">
      <w:r>
        <w:separator/>
      </w:r>
    </w:p>
  </w:endnote>
  <w:endnote w:type="continuationSeparator" w:id="0">
    <w:p w14:paraId="3EF6E3B3" w14:textId="77777777" w:rsidR="00697927" w:rsidRDefault="00697927">
      <w:r>
        <w:continuationSeparator/>
      </w:r>
    </w:p>
  </w:endnote>
  <w:endnote w:type="continuationNotice" w:id="1">
    <w:p w14:paraId="6E63AF42" w14:textId="77777777" w:rsidR="00697927" w:rsidRDefault="00697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17711" w14:textId="77777777" w:rsidR="00697927" w:rsidRDefault="00697927">
      <w:r>
        <w:separator/>
      </w:r>
    </w:p>
  </w:footnote>
  <w:footnote w:type="continuationSeparator" w:id="0">
    <w:p w14:paraId="60927405" w14:textId="77777777" w:rsidR="00697927" w:rsidRDefault="00697927">
      <w:r>
        <w:continuationSeparator/>
      </w:r>
    </w:p>
  </w:footnote>
  <w:footnote w:type="continuationNotice" w:id="1">
    <w:p w14:paraId="776FAE05" w14:textId="77777777" w:rsidR="00697927" w:rsidRDefault="006979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77629E"/>
    <w:multiLevelType w:val="hybridMultilevel"/>
    <w:tmpl w:val="86B2DE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531C08"/>
    <w:multiLevelType w:val="hybridMultilevel"/>
    <w:tmpl w:val="31F00CF6"/>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C4C90"/>
    <w:multiLevelType w:val="hybridMultilevel"/>
    <w:tmpl w:val="DCEE3B5C"/>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5"/>
  </w:num>
  <w:num w:numId="4">
    <w:abstractNumId w:val="16"/>
  </w:num>
  <w:num w:numId="5">
    <w:abstractNumId w:val="11"/>
  </w:num>
  <w:num w:numId="6">
    <w:abstractNumId w:val="17"/>
  </w:num>
  <w:num w:numId="7">
    <w:abstractNumId w:val="26"/>
  </w:num>
  <w:num w:numId="8">
    <w:abstractNumId w:val="13"/>
  </w:num>
  <w:num w:numId="9">
    <w:abstractNumId w:val="32"/>
  </w:num>
  <w:num w:numId="10">
    <w:abstractNumId w:val="14"/>
    <w:lvlOverride w:ilvl="0">
      <w:startOverride w:val="1"/>
    </w:lvlOverride>
  </w:num>
  <w:num w:numId="11">
    <w:abstractNumId w:val="20"/>
  </w:num>
  <w:num w:numId="12">
    <w:abstractNumId w:val="12"/>
  </w:num>
  <w:num w:numId="13">
    <w:abstractNumId w:val="23"/>
  </w:num>
  <w:num w:numId="14">
    <w:abstractNumId w:val="18"/>
  </w:num>
  <w:num w:numId="15">
    <w:abstractNumId w:val="3"/>
  </w:num>
  <w:num w:numId="16">
    <w:abstractNumId w:val="4"/>
  </w:num>
  <w:num w:numId="17">
    <w:abstractNumId w:val="8"/>
  </w:num>
  <w:num w:numId="18">
    <w:abstractNumId w:val="10"/>
  </w:num>
  <w:num w:numId="19">
    <w:abstractNumId w:val="30"/>
  </w:num>
  <w:num w:numId="20">
    <w:abstractNumId w:val="9"/>
  </w:num>
  <w:num w:numId="21">
    <w:abstractNumId w:val="7"/>
  </w:num>
  <w:num w:numId="22">
    <w:abstractNumId w:val="24"/>
  </w:num>
  <w:num w:numId="23">
    <w:abstractNumId w:val="0"/>
  </w:num>
  <w:num w:numId="24">
    <w:abstractNumId w:val="25"/>
  </w:num>
  <w:num w:numId="25">
    <w:abstractNumId w:val="29"/>
  </w:num>
  <w:num w:numId="26">
    <w:abstractNumId w:val="28"/>
  </w:num>
  <w:num w:numId="27">
    <w:abstractNumId w:val="6"/>
  </w:num>
  <w:num w:numId="28">
    <w:abstractNumId w:val="19"/>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1"/>
  </w:num>
  <w:num w:numId="32">
    <w:abstractNumId w:val="5"/>
  </w:num>
  <w:num w:numId="33">
    <w:abstractNumId w:val="31"/>
  </w:num>
  <w:num w:numId="3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57"/>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77524"/>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051"/>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4F"/>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529"/>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0A7E"/>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6C"/>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AF8"/>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20D"/>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5C75"/>
    <w:rsid w:val="003D6122"/>
    <w:rsid w:val="003D6509"/>
    <w:rsid w:val="003D65C0"/>
    <w:rsid w:val="003D6649"/>
    <w:rsid w:val="003D7146"/>
    <w:rsid w:val="003D73B9"/>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B88"/>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3D97"/>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91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6A3"/>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97B"/>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332"/>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927"/>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E5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C18"/>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D36"/>
    <w:rsid w:val="007A3E9A"/>
    <w:rsid w:val="007A43A6"/>
    <w:rsid w:val="007A4B72"/>
    <w:rsid w:val="007A4DB5"/>
    <w:rsid w:val="007A57A2"/>
    <w:rsid w:val="007A58A6"/>
    <w:rsid w:val="007A5EED"/>
    <w:rsid w:val="007A61D2"/>
    <w:rsid w:val="007A6261"/>
    <w:rsid w:val="007A6495"/>
    <w:rsid w:val="007A64AE"/>
    <w:rsid w:val="007A6F2F"/>
    <w:rsid w:val="007A7053"/>
    <w:rsid w:val="007A7355"/>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1D4"/>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6617"/>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69D"/>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2C5"/>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0CD"/>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BA"/>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5DA"/>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51D2"/>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248"/>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0FAA"/>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1F4E"/>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3392"/>
    <w:rsid w:val="00BD412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478"/>
    <w:rsid w:val="00BE7603"/>
    <w:rsid w:val="00BE77BF"/>
    <w:rsid w:val="00BE78D7"/>
    <w:rsid w:val="00BF17FD"/>
    <w:rsid w:val="00BF192B"/>
    <w:rsid w:val="00BF1DDB"/>
    <w:rsid w:val="00BF1EDF"/>
    <w:rsid w:val="00BF3279"/>
    <w:rsid w:val="00BF397A"/>
    <w:rsid w:val="00BF3F37"/>
    <w:rsid w:val="00BF4BBF"/>
    <w:rsid w:val="00BF4F8F"/>
    <w:rsid w:val="00BF512B"/>
    <w:rsid w:val="00BF51F4"/>
    <w:rsid w:val="00BF6454"/>
    <w:rsid w:val="00BF657B"/>
    <w:rsid w:val="00BF6EEA"/>
    <w:rsid w:val="00BF6FD7"/>
    <w:rsid w:val="00BF74C7"/>
    <w:rsid w:val="00C00CCF"/>
    <w:rsid w:val="00C00EF9"/>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77BAA"/>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2B9"/>
    <w:rsid w:val="00E05500"/>
    <w:rsid w:val="00E0584C"/>
    <w:rsid w:val="00E060FC"/>
    <w:rsid w:val="00E068E9"/>
    <w:rsid w:val="00E07614"/>
    <w:rsid w:val="00E07799"/>
    <w:rsid w:val="00E078E2"/>
    <w:rsid w:val="00E07A2D"/>
    <w:rsid w:val="00E07CBA"/>
    <w:rsid w:val="00E07E6C"/>
    <w:rsid w:val="00E10AF9"/>
    <w:rsid w:val="00E10BE8"/>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373"/>
    <w:rsid w:val="00E57565"/>
    <w:rsid w:val="00E579A7"/>
    <w:rsid w:val="00E6114E"/>
    <w:rsid w:val="00E618B3"/>
    <w:rsid w:val="00E61B94"/>
    <w:rsid w:val="00E61F17"/>
    <w:rsid w:val="00E622FB"/>
    <w:rsid w:val="00E62374"/>
    <w:rsid w:val="00E629CA"/>
    <w:rsid w:val="00E63838"/>
    <w:rsid w:val="00E64434"/>
    <w:rsid w:val="00E6485E"/>
    <w:rsid w:val="00E64D8B"/>
    <w:rsid w:val="00E64DBC"/>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3C31"/>
    <w:rsid w:val="00F151AF"/>
    <w:rsid w:val="00F15491"/>
    <w:rsid w:val="00F15FA5"/>
    <w:rsid w:val="00F161DA"/>
    <w:rsid w:val="00F163C6"/>
    <w:rsid w:val="00F1664B"/>
    <w:rsid w:val="00F168FA"/>
    <w:rsid w:val="00F169FC"/>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2019"/>
    <w:rsid w:val="00FC2E17"/>
    <w:rsid w:val="00FC3355"/>
    <w:rsid w:val="00FC3620"/>
    <w:rsid w:val="00FC4002"/>
    <w:rsid w:val="00FC4B11"/>
    <w:rsid w:val="00FC4B8F"/>
    <w:rsid w:val="00FC5231"/>
    <w:rsid w:val="00FC58D4"/>
    <w:rsid w:val="00FC59D9"/>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69D"/>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88669D"/>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88669D"/>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88669D"/>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88669D"/>
    <w:pPr>
      <w:keepNext/>
      <w:outlineLvl w:val="3"/>
    </w:pPr>
    <w:rPr>
      <w:sz w:val="24"/>
      <w:szCs w:val="28"/>
    </w:rPr>
  </w:style>
  <w:style w:type="paragraph" w:styleId="Heading5">
    <w:name w:val="heading 5"/>
    <w:basedOn w:val="Heading4"/>
    <w:next w:val="Doc-title"/>
    <w:link w:val="Heading5Char"/>
    <w:qFormat/>
    <w:rsid w:val="0088669D"/>
    <w:pPr>
      <w:outlineLvl w:val="4"/>
    </w:pPr>
    <w:rPr>
      <w:rFonts w:eastAsia="Times New Roman" w:cs="Times New Roman"/>
      <w:iCs/>
      <w:sz w:val="22"/>
      <w:szCs w:val="26"/>
    </w:rPr>
  </w:style>
  <w:style w:type="paragraph" w:styleId="Heading6">
    <w:name w:val="heading 6"/>
    <w:basedOn w:val="Normal"/>
    <w:next w:val="Doc-title"/>
    <w:link w:val="Heading6Char"/>
    <w:qFormat/>
    <w:rsid w:val="0088669D"/>
    <w:pPr>
      <w:spacing w:before="240" w:after="60"/>
      <w:outlineLvl w:val="5"/>
    </w:pPr>
    <w:rPr>
      <w:b/>
      <w:bCs/>
      <w:sz w:val="22"/>
      <w:szCs w:val="22"/>
    </w:rPr>
  </w:style>
  <w:style w:type="paragraph" w:styleId="Heading7">
    <w:name w:val="heading 7"/>
    <w:basedOn w:val="Normal"/>
    <w:next w:val="Normal"/>
    <w:link w:val="Heading7Char"/>
    <w:unhideWhenUsed/>
    <w:qFormat/>
    <w:rsid w:val="0088669D"/>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88669D"/>
    <w:pPr>
      <w:keepNext/>
      <w:spacing w:before="240" w:after="60"/>
      <w:outlineLvl w:val="8"/>
    </w:pPr>
    <w:rPr>
      <w:rFonts w:cs="Arial"/>
      <w:b/>
      <w:szCs w:val="22"/>
    </w:rPr>
  </w:style>
  <w:style w:type="character" w:default="1" w:styleId="DefaultParagraphFont">
    <w:name w:val="Default Paragraph Font"/>
    <w:uiPriority w:val="1"/>
    <w:semiHidden/>
    <w:unhideWhenUsed/>
    <w:rsid w:val="008866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69D"/>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88669D"/>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88669D"/>
    <w:pPr>
      <w:numPr>
        <w:numId w:val="25"/>
      </w:numPr>
    </w:pPr>
  </w:style>
  <w:style w:type="paragraph" w:styleId="TOC2">
    <w:name w:val="toc 2"/>
    <w:basedOn w:val="Normal"/>
    <w:next w:val="Normal"/>
    <w:autoRedefine/>
    <w:uiPriority w:val="39"/>
    <w:rsid w:val="0088669D"/>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88669D"/>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88669D"/>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8669D"/>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88669D"/>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88669D"/>
    <w:pPr>
      <w:ind w:left="566" w:hanging="283"/>
      <w:contextualSpacing/>
    </w:pPr>
  </w:style>
  <w:style w:type="paragraph" w:styleId="List3">
    <w:name w:val="List 3"/>
    <w:basedOn w:val="Normal"/>
    <w:rsid w:val="0088669D"/>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88669D"/>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88669D"/>
    <w:rPr>
      <w:rFonts w:ascii="Tahoma" w:hAnsi="Tahoma" w:cs="Tahoma"/>
      <w:sz w:val="16"/>
      <w:szCs w:val="16"/>
    </w:rPr>
  </w:style>
  <w:style w:type="character" w:styleId="PageNumber">
    <w:name w:val="page number"/>
    <w:basedOn w:val="DefaultParagraphFont"/>
    <w:rsid w:val="0088669D"/>
  </w:style>
  <w:style w:type="paragraph" w:styleId="BodyText">
    <w:name w:val="Body Text"/>
    <w:basedOn w:val="Normal"/>
    <w:link w:val="BodyTextChar"/>
    <w:rsid w:val="0088669D"/>
    <w:pPr>
      <w:spacing w:after="120"/>
    </w:pPr>
  </w:style>
  <w:style w:type="character" w:styleId="Hyperlink">
    <w:name w:val="Hyperlink"/>
    <w:uiPriority w:val="99"/>
    <w:rsid w:val="0088669D"/>
    <w:rPr>
      <w:color w:val="0000FF"/>
      <w:u w:val="single"/>
    </w:rPr>
  </w:style>
  <w:style w:type="character" w:styleId="FollowedHyperlink">
    <w:name w:val="FollowedHyperlink"/>
    <w:rsid w:val="0088669D"/>
    <w:rPr>
      <w:color w:val="800080"/>
      <w:u w:val="single"/>
    </w:rPr>
  </w:style>
  <w:style w:type="character" w:styleId="CommentReference">
    <w:name w:val="annotation reference"/>
    <w:semiHidden/>
    <w:rsid w:val="0088669D"/>
    <w:rPr>
      <w:sz w:val="16"/>
      <w:szCs w:val="16"/>
    </w:rPr>
  </w:style>
  <w:style w:type="paragraph" w:styleId="CommentText">
    <w:name w:val="annotation text"/>
    <w:basedOn w:val="Normal"/>
    <w:link w:val="CommentTextChar"/>
    <w:semiHidden/>
    <w:rsid w:val="0088669D"/>
  </w:style>
  <w:style w:type="paragraph" w:styleId="CommentSubject">
    <w:name w:val="annotation subject"/>
    <w:basedOn w:val="CommentText"/>
    <w:next w:val="CommentText"/>
    <w:link w:val="CommentSubjectChar"/>
    <w:semiHidden/>
    <w:rsid w:val="0088669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8669D"/>
    <w:rPr>
      <w:rFonts w:ascii="Times New Roman" w:eastAsiaTheme="minorHAnsi" w:hAnsi="Times New Roman"/>
      <w:b/>
      <w:bCs/>
      <w:kern w:val="32"/>
      <w:sz w:val="32"/>
      <w:szCs w:val="32"/>
      <w:lang w:val="en-GB"/>
    </w:rPr>
  </w:style>
  <w:style w:type="paragraph" w:customStyle="1" w:styleId="TH">
    <w:name w:val="TH"/>
    <w:basedOn w:val="Normal"/>
    <w:link w:val="THChar"/>
    <w:rsid w:val="0088669D"/>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88669D"/>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88669D"/>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88669D"/>
    <w:pPr>
      <w:keepNext/>
      <w:keepLines/>
    </w:pPr>
    <w:rPr>
      <w:rFonts w:eastAsia="Malgun Gothic"/>
      <w:sz w:val="18"/>
      <w:lang w:val="x-none"/>
    </w:rPr>
  </w:style>
  <w:style w:type="character" w:customStyle="1" w:styleId="TALCar">
    <w:name w:val="TAL Car"/>
    <w:rsid w:val="0088669D"/>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88669D"/>
    <w:pPr>
      <w:spacing w:after="180"/>
      <w:ind w:left="568" w:hanging="284"/>
    </w:pPr>
    <w:rPr>
      <w:rFonts w:eastAsia="Malgun Gothic"/>
      <w:lang w:eastAsia="x-none"/>
    </w:rPr>
  </w:style>
  <w:style w:type="character" w:customStyle="1" w:styleId="B1Char1">
    <w:name w:val="B1 Char1"/>
    <w:link w:val="B1"/>
    <w:rsid w:val="0088669D"/>
    <w:rPr>
      <w:rFonts w:ascii="Times New Roman" w:eastAsia="Malgun Gothic" w:hAnsi="Times New Roman"/>
      <w:lang w:val="en-GB" w:eastAsia="x-none"/>
    </w:rPr>
  </w:style>
  <w:style w:type="paragraph" w:customStyle="1" w:styleId="B2">
    <w:name w:val="B2"/>
    <w:basedOn w:val="List2"/>
    <w:link w:val="B2Char"/>
    <w:rsid w:val="0088669D"/>
    <w:pPr>
      <w:spacing w:after="180"/>
      <w:ind w:left="851" w:hanging="284"/>
      <w:contextualSpacing w:val="0"/>
    </w:pPr>
    <w:rPr>
      <w:rFonts w:eastAsia="Malgun Gothic"/>
      <w:lang w:val="x-none"/>
    </w:rPr>
  </w:style>
  <w:style w:type="character" w:customStyle="1" w:styleId="B2Char">
    <w:name w:val="B2 Char"/>
    <w:link w:val="B2"/>
    <w:rsid w:val="0088669D"/>
    <w:rPr>
      <w:rFonts w:ascii="Times New Roman" w:eastAsia="Malgun Gothic" w:hAnsi="Times New Roman"/>
      <w:lang w:val="x-none"/>
    </w:rPr>
  </w:style>
  <w:style w:type="paragraph" w:customStyle="1" w:styleId="B3">
    <w:name w:val="B3"/>
    <w:basedOn w:val="List3"/>
    <w:link w:val="B3Char2"/>
    <w:rsid w:val="0088669D"/>
    <w:pPr>
      <w:spacing w:after="180"/>
      <w:ind w:left="1135" w:hanging="284"/>
      <w:contextualSpacing w:val="0"/>
    </w:pPr>
    <w:rPr>
      <w:rFonts w:eastAsia="Malgun Gothic"/>
      <w:lang w:val="x-none"/>
    </w:rPr>
  </w:style>
  <w:style w:type="character" w:customStyle="1" w:styleId="B3Char2">
    <w:name w:val="B3 Char2"/>
    <w:link w:val="B3"/>
    <w:rsid w:val="0088669D"/>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88669D"/>
    <w:rPr>
      <w:rFonts w:ascii="Times New Roman" w:eastAsia="Batang" w:hAnsi="Times New Roman"/>
      <w:b/>
      <w:color w:val="0000FF"/>
      <w:kern w:val="2"/>
      <w:lang w:val="x-none"/>
    </w:rPr>
  </w:style>
  <w:style w:type="character" w:styleId="Emphasis">
    <w:name w:val="Emphasis"/>
    <w:qFormat/>
    <w:rsid w:val="0088669D"/>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88669D"/>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88669D"/>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8669D"/>
    <w:pPr>
      <w:ind w:left="720"/>
    </w:pPr>
    <w:rPr>
      <w:rFonts w:ascii="Calibri" w:eastAsia="Calibri" w:hAnsi="Calibri"/>
      <w:sz w:val="22"/>
      <w:szCs w:val="22"/>
    </w:rPr>
  </w:style>
  <w:style w:type="table" w:styleId="TableGrid">
    <w:name w:val="Table Grid"/>
    <w:basedOn w:val="TableNormal"/>
    <w:rsid w:val="008866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88669D"/>
    <w:rPr>
      <w:i/>
      <w:noProof/>
      <w:sz w:val="18"/>
    </w:rPr>
  </w:style>
  <w:style w:type="character" w:customStyle="1" w:styleId="CommentsChar">
    <w:name w:val="Comments Char"/>
    <w:link w:val="Comments"/>
    <w:rsid w:val="0088669D"/>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88669D"/>
    <w:pPr>
      <w:tabs>
        <w:tab w:val="left" w:pos="1622"/>
      </w:tabs>
      <w:ind w:left="1622" w:hanging="363"/>
    </w:pPr>
  </w:style>
  <w:style w:type="character" w:customStyle="1" w:styleId="Doc-text2Char">
    <w:name w:val="Doc-text2 Char"/>
    <w:link w:val="Doc-text2"/>
    <w:rsid w:val="0088669D"/>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ind w:left="0" w:firstLine="0"/>
      <w:outlineLvl w:val="9"/>
    </w:pPr>
    <w:rPr>
      <w:rFonts w:ascii="Calibri Light" w:eastAsia="Times New Roman"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8669D"/>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88669D"/>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88669D"/>
    <w:pPr>
      <w:numPr>
        <w:numId w:val="19"/>
      </w:numPr>
      <w:spacing w:before="60"/>
    </w:pPr>
    <w:rPr>
      <w:b/>
    </w:rPr>
  </w:style>
  <w:style w:type="character" w:customStyle="1" w:styleId="B2Char1">
    <w:name w:val="B2 Char1"/>
    <w:rsid w:val="0088669D"/>
    <w:rPr>
      <w:rFonts w:ascii="Times New Roman" w:eastAsia="Times New Roman" w:hAnsi="Times New Roman" w:cs="Times New Roman"/>
      <w:sz w:val="20"/>
      <w:szCs w:val="20"/>
      <w:lang w:val="en-GB" w:eastAsia="en-US" w:bidi="ar-SA"/>
    </w:rPr>
  </w:style>
  <w:style w:type="paragraph" w:customStyle="1" w:styleId="b30">
    <w:name w:val="b3"/>
    <w:basedOn w:val="Normal"/>
    <w:rsid w:val="0088669D"/>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88669D"/>
    <w:rPr>
      <w:rFonts w:ascii="Tahoma" w:eastAsiaTheme="minorHAnsi" w:hAnsi="Tahoma" w:cs="Tahoma"/>
      <w:sz w:val="16"/>
      <w:szCs w:val="16"/>
      <w:lang w:val="en-GB"/>
    </w:rPr>
  </w:style>
  <w:style w:type="paragraph" w:customStyle="1" w:styleId="SubHeading">
    <w:name w:val="SubHeading"/>
    <w:basedOn w:val="Normal"/>
    <w:next w:val="Normal"/>
    <w:link w:val="SubHeadingChar"/>
    <w:rsid w:val="0088669D"/>
    <w:pPr>
      <w:spacing w:before="240" w:after="60"/>
      <w:outlineLvl w:val="8"/>
    </w:pPr>
    <w:rPr>
      <w:b/>
      <w:noProof/>
    </w:rPr>
  </w:style>
  <w:style w:type="character" w:customStyle="1" w:styleId="SubHeadingChar">
    <w:name w:val="SubHeading Char"/>
    <w:link w:val="SubHeading"/>
    <w:rsid w:val="0088669D"/>
    <w:rPr>
      <w:rFonts w:ascii="Times New Roman" w:eastAsiaTheme="minorHAnsi" w:hAnsi="Times New Roman"/>
      <w:b/>
      <w:noProof/>
      <w:lang w:val="en-GB"/>
    </w:rPr>
  </w:style>
  <w:style w:type="paragraph" w:customStyle="1" w:styleId="BoldComments">
    <w:name w:val="Bold Comments"/>
    <w:basedOn w:val="SubHeading"/>
    <w:link w:val="BoldCommentsChar"/>
    <w:qFormat/>
    <w:rsid w:val="0088669D"/>
    <w:rPr>
      <w:noProof w:val="0"/>
      <w:lang w:val="x-none" w:eastAsia="x-none"/>
    </w:rPr>
  </w:style>
  <w:style w:type="character" w:customStyle="1" w:styleId="BoldCommentsChar">
    <w:name w:val="Bold Comments Char"/>
    <w:link w:val="BoldComments"/>
    <w:rsid w:val="0088669D"/>
    <w:rPr>
      <w:rFonts w:ascii="Times New Roman" w:eastAsiaTheme="minorHAnsi" w:hAnsi="Times New Roman"/>
      <w:b/>
      <w:lang w:val="x-none" w:eastAsia="x-none"/>
    </w:rPr>
  </w:style>
  <w:style w:type="paragraph" w:customStyle="1" w:styleId="CharChar1CharChar">
    <w:name w:val="Char Char1 Char Char"/>
    <w:semiHidden/>
    <w:rsid w:val="008866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88669D"/>
    <w:rPr>
      <w:rFonts w:ascii="Arial" w:eastAsia="MS Mincho" w:hAnsi="Arial" w:cs="Arial"/>
      <w:bCs/>
      <w:sz w:val="24"/>
      <w:szCs w:val="28"/>
      <w:lang w:val="en-GB" w:eastAsia="en-GB" w:bidi="ar-SA"/>
    </w:rPr>
  </w:style>
  <w:style w:type="character" w:customStyle="1" w:styleId="CharChar6">
    <w:name w:val="Char Char6"/>
    <w:rsid w:val="0088669D"/>
    <w:rPr>
      <w:rFonts w:ascii="Arial" w:eastAsia="MS Mincho" w:hAnsi="Arial" w:cs="Arial"/>
      <w:bCs/>
      <w:sz w:val="26"/>
      <w:szCs w:val="26"/>
      <w:lang w:val="en-GB" w:eastAsia="en-GB" w:bidi="ar-SA"/>
    </w:rPr>
  </w:style>
  <w:style w:type="character" w:customStyle="1" w:styleId="CharChar7">
    <w:name w:val="Char Char7"/>
    <w:rsid w:val="0088669D"/>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88669D"/>
    <w:pPr>
      <w:numPr>
        <w:numId w:val="20"/>
      </w:numPr>
      <w:tabs>
        <w:tab w:val="clear" w:pos="1622"/>
      </w:tabs>
    </w:pPr>
  </w:style>
  <w:style w:type="character" w:customStyle="1" w:styleId="ComeBackCharChar">
    <w:name w:val="ComeBack Char Char"/>
    <w:link w:val="ComeBack"/>
    <w:rsid w:val="0088669D"/>
    <w:rPr>
      <w:rFonts w:ascii="Times New Roman" w:eastAsiaTheme="minorHAnsi" w:hAnsi="Times New Roman"/>
      <w:lang w:val="en-GB"/>
    </w:rPr>
  </w:style>
  <w:style w:type="character" w:customStyle="1" w:styleId="CommentTextChar">
    <w:name w:val="Comment Text Char"/>
    <w:basedOn w:val="DefaultParagraphFont"/>
    <w:link w:val="CommentText"/>
    <w:semiHidden/>
    <w:rsid w:val="0088669D"/>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88669D"/>
    <w:rPr>
      <w:rFonts w:ascii="Times New Roman" w:eastAsiaTheme="minorHAnsi" w:hAnsi="Times New Roman"/>
      <w:b/>
      <w:bCs/>
      <w:lang w:val="en-GB"/>
    </w:rPr>
  </w:style>
  <w:style w:type="paragraph" w:customStyle="1" w:styleId="Comments-red">
    <w:name w:val="Comments-red"/>
    <w:basedOn w:val="Comments"/>
    <w:qFormat/>
    <w:rsid w:val="0088669D"/>
    <w:rPr>
      <w:noProof w:val="0"/>
      <w:color w:val="FF0000"/>
    </w:rPr>
  </w:style>
  <w:style w:type="paragraph" w:customStyle="1" w:styleId="Confirmation">
    <w:name w:val="Confirmation"/>
    <w:basedOn w:val="Normal"/>
    <w:qFormat/>
    <w:rsid w:val="0088669D"/>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88669D"/>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88669D"/>
    <w:rPr>
      <w:rFonts w:ascii="Times New Roman" w:eastAsiaTheme="minorHAnsi" w:hAnsi="Times New Roman" w:cs="Arial"/>
      <w:b/>
      <w:sz w:val="24"/>
      <w:lang w:val="en-GB"/>
    </w:rPr>
  </w:style>
  <w:style w:type="paragraph" w:customStyle="1" w:styleId="Doc-comment">
    <w:name w:val="Doc-comment"/>
    <w:basedOn w:val="Normal"/>
    <w:next w:val="Doc-text2"/>
    <w:qFormat/>
    <w:rsid w:val="0088669D"/>
    <w:pPr>
      <w:tabs>
        <w:tab w:val="left" w:pos="1622"/>
      </w:tabs>
      <w:ind w:left="1622" w:hanging="363"/>
    </w:pPr>
    <w:rPr>
      <w:i/>
    </w:rPr>
  </w:style>
  <w:style w:type="paragraph" w:customStyle="1" w:styleId="Doc-title">
    <w:name w:val="Doc-title"/>
    <w:basedOn w:val="Normal"/>
    <w:next w:val="Doc-text2"/>
    <w:link w:val="Doc-titleChar"/>
    <w:qFormat/>
    <w:rsid w:val="0088669D"/>
    <w:pPr>
      <w:spacing w:before="60"/>
      <w:ind w:left="1259" w:hanging="1259"/>
    </w:pPr>
    <w:rPr>
      <w:noProof/>
    </w:rPr>
  </w:style>
  <w:style w:type="character" w:customStyle="1" w:styleId="Doc-titleChar">
    <w:name w:val="Doc-title Char"/>
    <w:link w:val="Doc-title"/>
    <w:rsid w:val="0088669D"/>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88669D"/>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88669D"/>
    <w:pPr>
      <w:numPr>
        <w:numId w:val="22"/>
      </w:numPr>
    </w:pPr>
    <w:rPr>
      <w:b/>
    </w:rPr>
  </w:style>
  <w:style w:type="character" w:customStyle="1" w:styleId="EmailDiscussionChar">
    <w:name w:val="EmailDiscussion Char"/>
    <w:link w:val="EmailDiscussion"/>
    <w:rsid w:val="0088669D"/>
    <w:rPr>
      <w:rFonts w:ascii="Times New Roman" w:eastAsiaTheme="minorHAnsi" w:hAnsi="Times New Roman"/>
      <w:b/>
      <w:lang w:val="en-GB"/>
    </w:rPr>
  </w:style>
  <w:style w:type="paragraph" w:customStyle="1" w:styleId="EmailDiscussion2">
    <w:name w:val="EmailDiscussion2"/>
    <w:basedOn w:val="Doc-text2"/>
    <w:qFormat/>
    <w:rsid w:val="0088669D"/>
  </w:style>
  <w:style w:type="character" w:customStyle="1" w:styleId="emailstyle20">
    <w:name w:val="emailstyle20"/>
    <w:semiHidden/>
    <w:rsid w:val="0088669D"/>
    <w:rPr>
      <w:rFonts w:ascii="Arial" w:hAnsi="Arial" w:cs="Arial" w:hint="default"/>
      <w:color w:val="auto"/>
      <w:sz w:val="20"/>
      <w:szCs w:val="20"/>
    </w:rPr>
  </w:style>
  <w:style w:type="character" w:customStyle="1" w:styleId="FooterChar">
    <w:name w:val="Footer Char"/>
    <w:link w:val="Footer"/>
    <w:uiPriority w:val="99"/>
    <w:rsid w:val="0088669D"/>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8669D"/>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8669D"/>
    <w:rPr>
      <w:rFonts w:ascii="Times New Roman" w:eastAsiaTheme="minorHAnsi" w:hAnsi="Times New Roman" w:cs="Arial"/>
      <w:bCs/>
      <w:sz w:val="24"/>
      <w:szCs w:val="28"/>
      <w:lang w:val="en-GB"/>
    </w:rPr>
  </w:style>
  <w:style w:type="character" w:customStyle="1" w:styleId="Heading5Char">
    <w:name w:val="Heading 5 Char"/>
    <w:link w:val="Heading5"/>
    <w:rsid w:val="0088669D"/>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88669D"/>
    <w:rPr>
      <w:rFonts w:ascii="Times New Roman" w:eastAsiaTheme="minorHAnsi" w:hAnsi="Times New Roman"/>
      <w:b/>
      <w:bCs/>
      <w:sz w:val="22"/>
      <w:szCs w:val="22"/>
      <w:lang w:val="en-GB"/>
    </w:rPr>
  </w:style>
  <w:style w:type="character" w:customStyle="1" w:styleId="Heading7Char">
    <w:name w:val="Heading 7 Char"/>
    <w:link w:val="Heading7"/>
    <w:rsid w:val="0088669D"/>
    <w:rPr>
      <w:rFonts w:ascii="Calibri" w:eastAsia="PMingLiU" w:hAnsi="Calibri"/>
      <w:sz w:val="24"/>
      <w:lang w:val="en-GB"/>
    </w:rPr>
  </w:style>
  <w:style w:type="character" w:customStyle="1" w:styleId="Heading9Char">
    <w:name w:val="Heading 9 Char"/>
    <w:basedOn w:val="DefaultParagraphFont"/>
    <w:link w:val="Heading9"/>
    <w:rsid w:val="0088669D"/>
    <w:rPr>
      <w:rFonts w:ascii="Times New Roman" w:eastAsiaTheme="minorHAnsi" w:hAnsi="Times New Roman" w:cs="Arial"/>
      <w:b/>
      <w:szCs w:val="22"/>
      <w:lang w:val="en-GB"/>
    </w:rPr>
  </w:style>
  <w:style w:type="paragraph" w:customStyle="1" w:styleId="Internal">
    <w:name w:val="Internal"/>
    <w:basedOn w:val="Comments"/>
    <w:link w:val="InternalChar"/>
    <w:rsid w:val="0088669D"/>
    <w:rPr>
      <w:noProof w:val="0"/>
      <w:color w:val="333399"/>
    </w:rPr>
  </w:style>
  <w:style w:type="character" w:customStyle="1" w:styleId="InternalChar">
    <w:name w:val="Internal Char"/>
    <w:link w:val="Internal"/>
    <w:rsid w:val="0088669D"/>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88669D"/>
    <w:pPr>
      <w:tabs>
        <w:tab w:val="left" w:pos="1259"/>
        <w:tab w:val="left" w:pos="1622"/>
      </w:tabs>
      <w:ind w:left="1627" w:hanging="697"/>
    </w:pPr>
  </w:style>
  <w:style w:type="paragraph" w:customStyle="1" w:styleId="MiniHeading">
    <w:name w:val="MiniHeading"/>
    <w:basedOn w:val="Comments"/>
    <w:qFormat/>
    <w:rsid w:val="0088669D"/>
    <w:pPr>
      <w:spacing w:before="180"/>
    </w:pPr>
    <w:rPr>
      <w:u w:val="single"/>
      <w:lang w:val="en-US"/>
    </w:rPr>
  </w:style>
  <w:style w:type="character" w:styleId="PlaceholderText">
    <w:name w:val="Placeholder Text"/>
    <w:uiPriority w:val="99"/>
    <w:semiHidden/>
    <w:rsid w:val="0088669D"/>
    <w:rPr>
      <w:color w:val="808080"/>
    </w:rPr>
  </w:style>
  <w:style w:type="paragraph" w:styleId="PlainText">
    <w:name w:val="Plain Text"/>
    <w:basedOn w:val="Normal"/>
    <w:link w:val="PlainTextChar"/>
    <w:uiPriority w:val="99"/>
    <w:unhideWhenUsed/>
    <w:rsid w:val="0088669D"/>
    <w:rPr>
      <w:rFonts w:ascii="Consolas" w:eastAsia="Calibri" w:hAnsi="Consolas"/>
      <w:sz w:val="21"/>
      <w:szCs w:val="21"/>
      <w:lang w:val="x-none"/>
    </w:rPr>
  </w:style>
  <w:style w:type="character" w:customStyle="1" w:styleId="PlainTextChar">
    <w:name w:val="Plain Text Char"/>
    <w:link w:val="PlainText"/>
    <w:uiPriority w:val="99"/>
    <w:rsid w:val="0088669D"/>
    <w:rPr>
      <w:rFonts w:ascii="Consolas" w:eastAsia="Calibri" w:hAnsi="Consolas"/>
      <w:sz w:val="21"/>
      <w:szCs w:val="21"/>
      <w:lang w:val="x-none"/>
    </w:rPr>
  </w:style>
  <w:style w:type="paragraph" w:customStyle="1" w:styleId="Review-comment">
    <w:name w:val="Review-comment"/>
    <w:basedOn w:val="Normal"/>
    <w:qFormat/>
    <w:rsid w:val="0088669D"/>
    <w:pPr>
      <w:tabs>
        <w:tab w:val="left" w:pos="1622"/>
      </w:tabs>
      <w:ind w:left="1622" w:hanging="363"/>
    </w:pPr>
    <w:rPr>
      <w:color w:val="C00000"/>
      <w:sz w:val="18"/>
    </w:rPr>
  </w:style>
  <w:style w:type="paragraph" w:customStyle="1" w:styleId="Review-comment2">
    <w:name w:val="Review-comment2"/>
    <w:basedOn w:val="Review-comment"/>
    <w:qFormat/>
    <w:rsid w:val="0088669D"/>
    <w:rPr>
      <w:color w:val="0C6E15"/>
    </w:rPr>
  </w:style>
  <w:style w:type="paragraph" w:customStyle="1" w:styleId="Review-comment3">
    <w:name w:val="Review-comment3"/>
    <w:basedOn w:val="Normal"/>
    <w:qFormat/>
    <w:rsid w:val="0088669D"/>
    <w:pPr>
      <w:tabs>
        <w:tab w:val="left" w:pos="1622"/>
      </w:tabs>
      <w:ind w:left="1622" w:hanging="363"/>
    </w:pPr>
    <w:rPr>
      <w:color w:val="2E74B5"/>
      <w:sz w:val="18"/>
    </w:rPr>
  </w:style>
  <w:style w:type="paragraph" w:customStyle="1" w:styleId="Style1">
    <w:name w:val="Style1"/>
    <w:basedOn w:val="Heading4"/>
    <w:rsid w:val="0088669D"/>
    <w:rPr>
      <w:b/>
      <w:sz w:val="22"/>
    </w:rPr>
  </w:style>
  <w:style w:type="paragraph" w:customStyle="1" w:styleId="Style2">
    <w:name w:val="Style2"/>
    <w:basedOn w:val="EmailDiscussion"/>
    <w:link w:val="Style2Char"/>
    <w:qFormat/>
    <w:rsid w:val="0088669D"/>
  </w:style>
  <w:style w:type="character" w:customStyle="1" w:styleId="Style2Char">
    <w:name w:val="Style2 Char"/>
    <w:basedOn w:val="EmailDiscussionChar"/>
    <w:link w:val="Style2"/>
    <w:rsid w:val="0088669D"/>
    <w:rPr>
      <w:rFonts w:ascii="Times New Roman" w:eastAsiaTheme="minorHAnsi" w:hAnsi="Times New Roman"/>
      <w:b/>
      <w:lang w:val="en-GB"/>
    </w:rPr>
  </w:style>
  <w:style w:type="paragraph" w:styleId="TableofFigures">
    <w:name w:val="table of figures"/>
    <w:basedOn w:val="Normal"/>
    <w:next w:val="Normal"/>
    <w:uiPriority w:val="99"/>
    <w:rsid w:val="0088669D"/>
    <w:pPr>
      <w:tabs>
        <w:tab w:val="left" w:pos="811"/>
      </w:tabs>
      <w:spacing w:before="60"/>
      <w:ind w:left="811" w:hanging="811"/>
    </w:pPr>
  </w:style>
  <w:style w:type="character" w:customStyle="1" w:styleId="TALChar">
    <w:name w:val="TAL Char"/>
    <w:link w:val="TAL"/>
    <w:rsid w:val="0088669D"/>
    <w:rPr>
      <w:rFonts w:ascii="Times New Roman" w:eastAsia="Malgun Gothic" w:hAnsi="Times New Roman"/>
      <w:sz w:val="18"/>
      <w:lang w:val="x-none"/>
    </w:rPr>
  </w:style>
  <w:style w:type="paragraph" w:customStyle="1" w:styleId="a">
    <w:name w:val="바탕글"/>
    <w:basedOn w:val="Normal"/>
    <w:rsid w:val="0088669D"/>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9511375">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889669">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1455096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65325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498421075">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7516756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395650">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1501</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2021-08-06T20:35:00Z</dcterms:created>
  <dcterms:modified xsi:type="dcterms:W3CDTF">2021-10-21T21:39:00Z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